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DEE8" w14:textId="77777777" w:rsidR="00E63432" w:rsidRDefault="00E63432" w:rsidP="000C2042">
      <w:pPr>
        <w:spacing w:line="312" w:lineRule="auto"/>
        <w:rPr>
          <w:rFonts w:eastAsia="MingLiU"/>
          <w:b/>
          <w:bCs/>
          <w:szCs w:val="28"/>
        </w:rPr>
      </w:pPr>
      <w:r w:rsidRPr="00E63432">
        <w:rPr>
          <w:rFonts w:eastAsia="MingLiU"/>
          <w:b/>
          <w:bCs/>
          <w:szCs w:val="28"/>
        </w:rPr>
        <w:t xml:space="preserve">Taking a survivor-centred approach: an overview </w:t>
      </w:r>
    </w:p>
    <w:p w14:paraId="371B9BEF" w14:textId="77777777" w:rsidR="00BA6475" w:rsidRDefault="00BA6475" w:rsidP="00BA6475">
      <w:pPr>
        <w:spacing w:line="312" w:lineRule="auto"/>
        <w:rPr>
          <w:rFonts w:asciiTheme="minorHAnsi" w:hAnsiTheme="minorHAnsi"/>
        </w:rPr>
      </w:pPr>
      <w:r w:rsidRPr="00BA6475">
        <w:rPr>
          <w:rFonts w:asciiTheme="minorHAnsi" w:hAnsiTheme="minorHAnsi"/>
        </w:rPr>
        <w:t>This note provides guidance for companies on the key elements of a survivor-centred approach and practical steps that can be taken to implement this approach.</w:t>
      </w:r>
    </w:p>
    <w:p w14:paraId="1D804239" w14:textId="77777777" w:rsidR="00BA6475" w:rsidRPr="00BA6475" w:rsidRDefault="00BA6475" w:rsidP="00BA6475">
      <w:pPr>
        <w:spacing w:line="312" w:lineRule="auto"/>
        <w:rPr>
          <w:rFonts w:asciiTheme="minorHAnsi" w:hAnsiTheme="minorHAnsi"/>
        </w:rPr>
      </w:pPr>
    </w:p>
    <w:p w14:paraId="3939FD69" w14:textId="77777777" w:rsidR="00BA6475" w:rsidRDefault="00BA6475" w:rsidP="00BA6475">
      <w:pPr>
        <w:spacing w:line="312" w:lineRule="auto"/>
        <w:rPr>
          <w:rFonts w:asciiTheme="minorHAnsi" w:hAnsiTheme="minorHAnsi"/>
        </w:rPr>
      </w:pPr>
      <w:r w:rsidRPr="00BA6475">
        <w:rPr>
          <w:rFonts w:asciiTheme="minorHAnsi" w:hAnsiTheme="minorHAnsi"/>
        </w:rPr>
        <w:t xml:space="preserve">A survivor-centred approach is the preferred approach for responding to reports of gender-based violence and harassment (GBVH). People who have experienced GBVH are often referred to as “survivors” – this emphasizes resilience and agency, as opposed to “victims”, which can reinforce a sense of powerlessness amongst those who experience GBVH. </w:t>
      </w:r>
    </w:p>
    <w:p w14:paraId="32B4E601" w14:textId="77777777" w:rsidR="00BA6475" w:rsidRPr="00BA6475" w:rsidRDefault="00BA6475" w:rsidP="00BA6475">
      <w:pPr>
        <w:spacing w:line="312" w:lineRule="auto"/>
        <w:rPr>
          <w:rFonts w:asciiTheme="minorHAnsi" w:hAnsiTheme="minorHAnsi"/>
        </w:rPr>
      </w:pPr>
    </w:p>
    <w:p w14:paraId="6E4CDF79" w14:textId="77777777" w:rsidR="00AB7ACA" w:rsidRDefault="00BA6475" w:rsidP="00BA6475">
      <w:pPr>
        <w:spacing w:line="312" w:lineRule="auto"/>
        <w:rPr>
          <w:rFonts w:asciiTheme="minorHAnsi" w:hAnsiTheme="minorHAnsi"/>
        </w:rPr>
      </w:pPr>
      <w:r w:rsidRPr="00BA6475">
        <w:rPr>
          <w:rFonts w:asciiTheme="minorHAnsi" w:hAnsiTheme="minorHAnsi"/>
        </w:rPr>
        <w:t xml:space="preserve">Anchoring decision-making in a survivor-centred approach is not only for the benefit of survivors, but also in the interests of companies and investors. It helps to reduce the potential for further harm to survivors and the likelihood of further financial and reputational risk to companies. This approach should be applied to all survivors of GBVH. In the private sector setting, this includes permanent and fixed-term employees, temporary contractors, agency workers, interns, </w:t>
      </w:r>
      <w:proofErr w:type="gramStart"/>
      <w:r w:rsidRPr="00BA6475">
        <w:rPr>
          <w:rFonts w:asciiTheme="minorHAnsi" w:hAnsiTheme="minorHAnsi"/>
        </w:rPr>
        <w:t>volunteers</w:t>
      </w:r>
      <w:proofErr w:type="gramEnd"/>
      <w:r w:rsidRPr="00BA6475">
        <w:rPr>
          <w:rFonts w:asciiTheme="minorHAnsi" w:hAnsiTheme="minorHAnsi"/>
        </w:rPr>
        <w:t xml:space="preserve"> and candidates, as well as service users, customers and community members.</w:t>
      </w:r>
    </w:p>
    <w:p w14:paraId="4EEB38F8" w14:textId="77777777" w:rsidR="00AB7ACA" w:rsidRDefault="00AB7ACA" w:rsidP="00BA6475">
      <w:pPr>
        <w:spacing w:line="312" w:lineRule="auto"/>
        <w:rPr>
          <w:rFonts w:asciiTheme="minorHAnsi" w:hAnsiTheme="minorHAnsi"/>
        </w:rPr>
      </w:pPr>
    </w:p>
    <w:tbl>
      <w:tblPr>
        <w:tblStyle w:val="GridTable4-Accent4"/>
        <w:tblW w:w="5000" w:type="pct"/>
        <w:tblLook w:val="04A0" w:firstRow="1" w:lastRow="0" w:firstColumn="1" w:lastColumn="0" w:noHBand="0" w:noVBand="1"/>
      </w:tblPr>
      <w:tblGrid>
        <w:gridCol w:w="2121"/>
        <w:gridCol w:w="7961"/>
      </w:tblGrid>
      <w:tr w:rsidR="00AB7ACA" w:rsidRPr="00AB7ACA" w14:paraId="2B27B8EE" w14:textId="77777777" w:rsidTr="00830D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2" w:type="pct"/>
          </w:tcPr>
          <w:p w14:paraId="30F57197" w14:textId="77777777" w:rsidR="00AB7ACA" w:rsidRPr="00AB7ACA" w:rsidRDefault="00AB7ACA" w:rsidP="00FB2B6D">
            <w:pPr>
              <w:pStyle w:val="Tabletitle"/>
              <w:spacing w:after="120"/>
              <w:rPr>
                <w:rStyle w:val="NormalBold"/>
                <w:rFonts w:ascii="Cambria" w:hAnsi="Cambria"/>
                <w:color w:val="auto"/>
                <w:sz w:val="22"/>
              </w:rPr>
            </w:pPr>
            <w:r w:rsidRPr="00AB7ACA">
              <w:rPr>
                <w:rStyle w:val="NormalBold"/>
                <w:rFonts w:ascii="Cambria" w:hAnsi="Cambria"/>
                <w:color w:val="auto"/>
                <w:sz w:val="22"/>
              </w:rPr>
              <w:t>Key elements</w:t>
            </w:r>
          </w:p>
        </w:tc>
        <w:tc>
          <w:tcPr>
            <w:tcW w:w="3948" w:type="pct"/>
          </w:tcPr>
          <w:p w14:paraId="53136C1F" w14:textId="77777777" w:rsidR="00AB7ACA" w:rsidRPr="00AB7ACA" w:rsidRDefault="00AB7ACA" w:rsidP="00FB2B6D">
            <w:pPr>
              <w:pStyle w:val="Tabletitle"/>
              <w:spacing w:after="120"/>
              <w:cnfStyle w:val="100000000000" w:firstRow="1"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How to implement</w:t>
            </w:r>
          </w:p>
        </w:tc>
      </w:tr>
      <w:tr w:rsidR="00AB7ACA" w:rsidRPr="00AB7ACA" w14:paraId="6447E13C" w14:textId="77777777" w:rsidTr="00830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pct"/>
          </w:tcPr>
          <w:p w14:paraId="2DEE49DE" w14:textId="77777777" w:rsidR="00AB7ACA" w:rsidRPr="00AB7ACA" w:rsidRDefault="00AB7ACA" w:rsidP="00FB2B6D">
            <w:pPr>
              <w:pStyle w:val="Tabletitle"/>
              <w:spacing w:after="120"/>
              <w:rPr>
                <w:rStyle w:val="NormalBold"/>
                <w:rFonts w:ascii="Cambria" w:hAnsi="Cambria"/>
                <w:color w:val="auto"/>
                <w:sz w:val="22"/>
              </w:rPr>
            </w:pPr>
            <w:r w:rsidRPr="00AB7ACA">
              <w:rPr>
                <w:rStyle w:val="NormalBold"/>
                <w:rFonts w:ascii="Cambria" w:hAnsi="Cambria"/>
                <w:color w:val="auto"/>
                <w:sz w:val="22"/>
              </w:rPr>
              <w:t xml:space="preserve">Safety: </w:t>
            </w:r>
          </w:p>
          <w:p w14:paraId="2994A776" w14:textId="77777777" w:rsidR="00AB7ACA" w:rsidRPr="00AB7ACA" w:rsidRDefault="00AB7ACA" w:rsidP="00FB2B6D">
            <w:pPr>
              <w:pStyle w:val="Tabletitle"/>
              <w:rPr>
                <w:rStyle w:val="NormalBold"/>
                <w:rFonts w:ascii="Cambria" w:hAnsi="Cambria"/>
                <w:color w:val="auto"/>
                <w:sz w:val="22"/>
              </w:rPr>
            </w:pPr>
            <w:r w:rsidRPr="00AB7ACA">
              <w:rPr>
                <w:rStyle w:val="NormalBold"/>
                <w:rFonts w:ascii="Cambria" w:hAnsi="Cambria"/>
                <w:color w:val="auto"/>
                <w:sz w:val="22"/>
              </w:rPr>
              <w:t>Ensure that survivors (and witnesses) are safe from immediate and future harm, and from retaliation.</w:t>
            </w:r>
          </w:p>
        </w:tc>
        <w:tc>
          <w:tcPr>
            <w:tcW w:w="3948" w:type="pct"/>
          </w:tcPr>
          <w:p w14:paraId="46E91D3A" w14:textId="77777777" w:rsidR="00AB7ACA" w:rsidRPr="00AB7ACA" w:rsidRDefault="00AB7ACA" w:rsidP="00AB7ACA">
            <w:pPr>
              <w:pStyle w:val="Tabletext"/>
              <w:numPr>
                <w:ilvl w:val="0"/>
                <w:numId w:val="47"/>
              </w:numPr>
              <w:spacing w:after="120"/>
              <w:ind w:left="46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 xml:space="preserve">Make survivors’ safety the immediate priority as soon as a report is made. </w:t>
            </w:r>
          </w:p>
          <w:p w14:paraId="78131F38" w14:textId="77777777" w:rsidR="00AB7ACA" w:rsidRPr="00AB7ACA" w:rsidRDefault="00AB7ACA" w:rsidP="00AB7ACA">
            <w:pPr>
              <w:pStyle w:val="Tabletext"/>
              <w:numPr>
                <w:ilvl w:val="0"/>
                <w:numId w:val="47"/>
              </w:numPr>
              <w:spacing w:after="120"/>
              <w:ind w:left="46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 xml:space="preserve">Work with survivors and witnesses to discuss measures that will protect them from further harm. These may include: </w:t>
            </w:r>
          </w:p>
          <w:p w14:paraId="10A1AFCB" w14:textId="77777777" w:rsidR="00AB7ACA" w:rsidRPr="00AB7ACA" w:rsidRDefault="00AB7ACA" w:rsidP="00AB7ACA">
            <w:pPr>
              <w:pStyle w:val="Tabletext"/>
              <w:numPr>
                <w:ilvl w:val="1"/>
                <w:numId w:val="49"/>
              </w:numPr>
              <w:spacing w:after="120"/>
              <w:ind w:left="746" w:hanging="31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Reconfiguring work teams so that the subject of the complaint is not working with or alongside survivors</w:t>
            </w:r>
          </w:p>
          <w:p w14:paraId="25E1A962" w14:textId="77777777" w:rsidR="00AB7ACA" w:rsidRPr="00AB7ACA" w:rsidRDefault="00AB7ACA" w:rsidP="00AB7ACA">
            <w:pPr>
              <w:pStyle w:val="Tabletext"/>
              <w:numPr>
                <w:ilvl w:val="1"/>
                <w:numId w:val="49"/>
              </w:numPr>
              <w:spacing w:after="120"/>
              <w:ind w:left="746" w:hanging="31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Reallocating work or reassigning the subject of the complaint to a role with limited and/or supervised interface with workers, community members or service users</w:t>
            </w:r>
          </w:p>
          <w:p w14:paraId="5D2BD5A3" w14:textId="77777777" w:rsidR="00AB7ACA" w:rsidRPr="00AB7ACA" w:rsidRDefault="00AB7ACA" w:rsidP="00AB7ACA">
            <w:pPr>
              <w:pStyle w:val="Tabletext"/>
              <w:numPr>
                <w:ilvl w:val="1"/>
                <w:numId w:val="49"/>
              </w:numPr>
              <w:spacing w:after="120"/>
              <w:ind w:left="746" w:hanging="31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Suspending the subject of complaint while an investigation takes place</w:t>
            </w:r>
          </w:p>
          <w:p w14:paraId="75AFC187" w14:textId="77777777" w:rsidR="00AB7ACA" w:rsidRPr="00AB7ACA" w:rsidRDefault="00AB7ACA" w:rsidP="00AB7ACA">
            <w:pPr>
              <w:pStyle w:val="Tabletext"/>
              <w:numPr>
                <w:ilvl w:val="1"/>
                <w:numId w:val="49"/>
              </w:numPr>
              <w:spacing w:after="120"/>
              <w:ind w:left="746" w:hanging="31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Restricting the movements of the subject of the complaint while the investigation is underway</w:t>
            </w:r>
          </w:p>
          <w:p w14:paraId="72A046C9" w14:textId="77777777" w:rsidR="00AB7ACA" w:rsidRPr="00AB7ACA" w:rsidRDefault="00AB7ACA" w:rsidP="00AB7ACA">
            <w:pPr>
              <w:pStyle w:val="Tabletext"/>
              <w:numPr>
                <w:ilvl w:val="1"/>
                <w:numId w:val="49"/>
              </w:numPr>
              <w:spacing w:after="120"/>
              <w:ind w:left="749" w:hanging="312"/>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 xml:space="preserve">Identifying safe spaces in communities, such as crisis centres, </w:t>
            </w:r>
            <w:proofErr w:type="gramStart"/>
            <w:r w:rsidRPr="00AB7ACA">
              <w:rPr>
                <w:rStyle w:val="NormalBold"/>
                <w:rFonts w:ascii="Cambria" w:hAnsi="Cambria"/>
                <w:color w:val="auto"/>
                <w:sz w:val="22"/>
              </w:rPr>
              <w:t>shelters</w:t>
            </w:r>
            <w:proofErr w:type="gramEnd"/>
            <w:r w:rsidRPr="00AB7ACA">
              <w:rPr>
                <w:rStyle w:val="NormalBold"/>
                <w:rFonts w:ascii="Cambria" w:hAnsi="Cambria"/>
                <w:color w:val="auto"/>
                <w:sz w:val="22"/>
              </w:rPr>
              <w:t xml:space="preserve"> and safe accommodation for survivors</w:t>
            </w:r>
          </w:p>
          <w:p w14:paraId="09C878D8" w14:textId="77777777" w:rsidR="00AB7ACA" w:rsidRPr="00AB7ACA" w:rsidRDefault="00AB7ACA" w:rsidP="00AB7ACA">
            <w:pPr>
              <w:pStyle w:val="Tabletext"/>
              <w:numPr>
                <w:ilvl w:val="0"/>
                <w:numId w:val="47"/>
              </w:numPr>
              <w:spacing w:after="120"/>
              <w:ind w:left="46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 xml:space="preserve">Continuously monitor the immediate and ongoing safety of survivors and </w:t>
            </w:r>
            <w:proofErr w:type="gramStart"/>
            <w:r w:rsidRPr="00AB7ACA">
              <w:rPr>
                <w:rStyle w:val="NormalBold"/>
                <w:rFonts w:ascii="Cambria" w:hAnsi="Cambria"/>
                <w:color w:val="auto"/>
                <w:sz w:val="22"/>
              </w:rPr>
              <w:t>witnesses, and</w:t>
            </w:r>
            <w:proofErr w:type="gramEnd"/>
            <w:r w:rsidRPr="00AB7ACA">
              <w:rPr>
                <w:rStyle w:val="NormalBold"/>
                <w:rFonts w:ascii="Cambria" w:hAnsi="Cambria"/>
                <w:color w:val="auto"/>
                <w:sz w:val="22"/>
              </w:rPr>
              <w:t xml:space="preserve"> make changes to safety measures over time if needed. Monitoring should be ongoing and should not end following an inquiry or the withdrawal of a complaint.</w:t>
            </w:r>
          </w:p>
          <w:p w14:paraId="6AD0B8A1" w14:textId="77777777" w:rsidR="00AB7ACA" w:rsidRPr="00AB7ACA" w:rsidRDefault="00AB7ACA" w:rsidP="00AB7ACA">
            <w:pPr>
              <w:pStyle w:val="Tabletext"/>
              <w:numPr>
                <w:ilvl w:val="0"/>
                <w:numId w:val="47"/>
              </w:numPr>
              <w:spacing w:after="120"/>
              <w:ind w:left="46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Ensure that staff responsible for handling reports of GBVH and commissioning investigations are aware of measures to protect survivors and witnesses from retaliation and how to handle grievances in line with a survivor-centred approach, with sensitivity to the safety needs of survivors. The first person a survivor speaks to after reporting GBVH may significantly affect the course of their recovery.</w:t>
            </w:r>
          </w:p>
        </w:tc>
      </w:tr>
      <w:tr w:rsidR="00AB7ACA" w:rsidRPr="00AB7ACA" w14:paraId="6A36E6DD" w14:textId="77777777" w:rsidTr="00830D3A">
        <w:tc>
          <w:tcPr>
            <w:cnfStyle w:val="001000000000" w:firstRow="0" w:lastRow="0" w:firstColumn="1" w:lastColumn="0" w:oddVBand="0" w:evenVBand="0" w:oddHBand="0" w:evenHBand="0" w:firstRowFirstColumn="0" w:firstRowLastColumn="0" w:lastRowFirstColumn="0" w:lastRowLastColumn="0"/>
            <w:tcW w:w="1052" w:type="pct"/>
          </w:tcPr>
          <w:p w14:paraId="3498B89A" w14:textId="77777777" w:rsidR="00AB7ACA" w:rsidRPr="00AB7ACA" w:rsidRDefault="00AB7ACA" w:rsidP="00FB2B6D">
            <w:pPr>
              <w:pStyle w:val="Tabletitle"/>
              <w:spacing w:after="120"/>
              <w:rPr>
                <w:rStyle w:val="NormalBold"/>
                <w:rFonts w:ascii="Cambria" w:hAnsi="Cambria"/>
                <w:color w:val="auto"/>
                <w:sz w:val="22"/>
              </w:rPr>
            </w:pPr>
            <w:r w:rsidRPr="00AB7ACA">
              <w:rPr>
                <w:rStyle w:val="NormalBold"/>
                <w:rFonts w:ascii="Cambria" w:hAnsi="Cambria"/>
                <w:color w:val="auto"/>
                <w:sz w:val="22"/>
              </w:rPr>
              <w:t xml:space="preserve">Support: </w:t>
            </w:r>
          </w:p>
          <w:p w14:paraId="61EEC4CF" w14:textId="77777777" w:rsidR="00AB7ACA" w:rsidRPr="00AB7ACA" w:rsidRDefault="00AB7ACA" w:rsidP="00FB2B6D">
            <w:pPr>
              <w:pStyle w:val="Tabletitle"/>
              <w:rPr>
                <w:rStyle w:val="NormalBold"/>
                <w:rFonts w:ascii="Cambria" w:hAnsi="Cambria"/>
                <w:color w:val="auto"/>
                <w:sz w:val="22"/>
              </w:rPr>
            </w:pPr>
            <w:r w:rsidRPr="00AB7ACA">
              <w:rPr>
                <w:rStyle w:val="NormalBold"/>
                <w:rFonts w:ascii="Cambria" w:hAnsi="Cambria"/>
                <w:color w:val="auto"/>
                <w:sz w:val="22"/>
              </w:rPr>
              <w:t>Enable survivors to make informed decisions about what they want, and proactively provide them with information about available support.</w:t>
            </w:r>
          </w:p>
        </w:tc>
        <w:tc>
          <w:tcPr>
            <w:tcW w:w="3948" w:type="pct"/>
          </w:tcPr>
          <w:p w14:paraId="20012360" w14:textId="77777777" w:rsidR="00AB7ACA" w:rsidRPr="00AB7ACA" w:rsidRDefault="00AB7ACA" w:rsidP="00AB7ACA">
            <w:pPr>
              <w:pStyle w:val="Tabletext"/>
              <w:numPr>
                <w:ilvl w:val="0"/>
                <w:numId w:val="49"/>
              </w:numPr>
              <w:spacing w:after="120"/>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Explore options to partner with local organisations with GBVH expertise that can provide specialist support to survivors and witnesses (</w:t>
            </w:r>
            <w:proofErr w:type="gramStart"/>
            <w:r w:rsidRPr="00AB7ACA">
              <w:rPr>
                <w:rStyle w:val="NormalBold"/>
                <w:rFonts w:ascii="Cambria" w:hAnsi="Cambria"/>
                <w:color w:val="auto"/>
                <w:sz w:val="22"/>
              </w:rPr>
              <w:t>e.g.</w:t>
            </w:r>
            <w:proofErr w:type="gramEnd"/>
            <w:r w:rsidRPr="00AB7ACA">
              <w:rPr>
                <w:rStyle w:val="NormalBold"/>
                <w:rFonts w:ascii="Cambria" w:hAnsi="Cambria"/>
                <w:color w:val="auto"/>
                <w:sz w:val="22"/>
              </w:rPr>
              <w:t xml:space="preserve"> service providers, trade unions, health services, women’s right’s organisations, NGOs and/or government agencies), and ensure that staff responsible for handling GBVH reports are aware of available support services and referral procedures. </w:t>
            </w:r>
          </w:p>
          <w:p w14:paraId="66B6DC1C" w14:textId="74621D75" w:rsidR="00AB7ACA" w:rsidRPr="00AB7ACA" w:rsidRDefault="00AB7ACA" w:rsidP="00AB7ACA">
            <w:pPr>
              <w:pStyle w:val="Tabletext"/>
              <w:numPr>
                <w:ilvl w:val="0"/>
                <w:numId w:val="49"/>
              </w:numPr>
              <w:spacing w:after="120"/>
              <w:ind w:left="357" w:hanging="357"/>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Proactively inform survivors and witnesses of the available support, which they can take up according to their own wishes and needs. Support options can include medical assistance, counselling, legal assistance, as well as job reassignment and other measures (see ‘</w:t>
            </w:r>
            <w:r w:rsidRPr="00AB7ACA">
              <w:rPr>
                <w:rStyle w:val="NormalBold"/>
                <w:rFonts w:ascii="Cambria" w:hAnsi="Cambria"/>
                <w:color w:val="auto"/>
                <w:sz w:val="22"/>
              </w:rPr>
              <w:fldChar w:fldCharType="begin"/>
            </w:r>
            <w:r w:rsidRPr="00AB7ACA">
              <w:rPr>
                <w:rStyle w:val="NormalBold"/>
                <w:rFonts w:ascii="Cambria" w:hAnsi="Cambria"/>
                <w:color w:val="auto"/>
                <w:sz w:val="22"/>
              </w:rPr>
              <w:instrText xml:space="preserve"> REF _Ref138678453 \h </w:instrText>
            </w:r>
            <w:r w:rsidRPr="00AB7ACA">
              <w:rPr>
                <w:rStyle w:val="NormalBold"/>
                <w:rFonts w:ascii="Cambria" w:hAnsi="Cambria"/>
                <w:color w:val="auto"/>
                <w:sz w:val="22"/>
              </w:rPr>
            </w:r>
            <w:r w:rsidRPr="00AB7ACA">
              <w:rPr>
                <w:rStyle w:val="NormalBold"/>
                <w:rFonts w:ascii="Cambria" w:hAnsi="Cambria"/>
                <w:color w:val="auto"/>
                <w:sz w:val="22"/>
              </w:rPr>
              <w:instrText xml:space="preserve"> \* MERGEFORMAT </w:instrText>
            </w:r>
            <w:r w:rsidRPr="00AB7ACA">
              <w:rPr>
                <w:rStyle w:val="NormalBold"/>
                <w:rFonts w:ascii="Cambria" w:hAnsi="Cambria"/>
                <w:color w:val="auto"/>
                <w:sz w:val="22"/>
              </w:rPr>
              <w:fldChar w:fldCharType="separate"/>
            </w:r>
            <w:r w:rsidRPr="00AB7ACA">
              <w:rPr>
                <w:rStyle w:val="NormalBold"/>
                <w:rFonts w:ascii="Cambria" w:hAnsi="Cambria"/>
                <w:color w:val="auto"/>
                <w:sz w:val="22"/>
              </w:rPr>
              <w:t>Offering support to survivors</w:t>
            </w:r>
            <w:r w:rsidRPr="00AB7ACA">
              <w:rPr>
                <w:rStyle w:val="NormalBold"/>
                <w:rFonts w:ascii="Cambria" w:hAnsi="Cambria"/>
                <w:color w:val="auto"/>
                <w:sz w:val="22"/>
              </w:rPr>
              <w:fldChar w:fldCharType="end"/>
            </w:r>
            <w:r w:rsidRPr="00AB7ACA">
              <w:rPr>
                <w:rStyle w:val="NormalBold"/>
                <w:rFonts w:ascii="Cambria" w:hAnsi="Cambria"/>
                <w:color w:val="auto"/>
                <w:sz w:val="22"/>
              </w:rPr>
              <w:t xml:space="preserve">’ below for a full list of potential support options).  </w:t>
            </w:r>
          </w:p>
          <w:p w14:paraId="10270DE5" w14:textId="77777777" w:rsidR="00AB7ACA" w:rsidRPr="00AB7ACA" w:rsidRDefault="00AB7ACA" w:rsidP="00AB7ACA">
            <w:pPr>
              <w:pStyle w:val="Tabletext"/>
              <w:numPr>
                <w:ilvl w:val="0"/>
                <w:numId w:val="49"/>
              </w:numPr>
              <w:spacing w:after="120"/>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 xml:space="preserve">Make sure that support services are available during working hours and do not impose costs on survivors, </w:t>
            </w:r>
            <w:proofErr w:type="gramStart"/>
            <w:r w:rsidRPr="00AB7ACA">
              <w:rPr>
                <w:rStyle w:val="NormalBold"/>
                <w:rFonts w:ascii="Cambria" w:hAnsi="Cambria"/>
                <w:color w:val="auto"/>
                <w:sz w:val="22"/>
              </w:rPr>
              <w:t>e.g.</w:t>
            </w:r>
            <w:proofErr w:type="gramEnd"/>
            <w:r w:rsidRPr="00AB7ACA">
              <w:rPr>
                <w:rStyle w:val="NormalBold"/>
                <w:rFonts w:ascii="Cambria" w:hAnsi="Cambria"/>
                <w:color w:val="auto"/>
                <w:sz w:val="22"/>
              </w:rPr>
              <w:t xml:space="preserve"> long journeys. </w:t>
            </w:r>
          </w:p>
          <w:p w14:paraId="454CB700" w14:textId="77777777" w:rsidR="00AB7ACA" w:rsidRPr="00AB7ACA" w:rsidRDefault="00AB7ACA" w:rsidP="00AB7ACA">
            <w:pPr>
              <w:pStyle w:val="Tabletext"/>
              <w:numPr>
                <w:ilvl w:val="0"/>
                <w:numId w:val="49"/>
              </w:numPr>
              <w:spacing w:after="120"/>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 xml:space="preserve">Offer survivors the option to have a friend, colleague or another person accompany them when they use </w:t>
            </w:r>
            <w:proofErr w:type="gramStart"/>
            <w:r w:rsidRPr="00AB7ACA">
              <w:rPr>
                <w:rStyle w:val="NormalBold"/>
                <w:rFonts w:ascii="Cambria" w:hAnsi="Cambria"/>
                <w:color w:val="auto"/>
                <w:sz w:val="22"/>
              </w:rPr>
              <w:t>services, and</w:t>
            </w:r>
            <w:proofErr w:type="gramEnd"/>
            <w:r w:rsidRPr="00AB7ACA">
              <w:rPr>
                <w:rStyle w:val="NormalBold"/>
                <w:rFonts w:ascii="Cambria" w:hAnsi="Cambria"/>
                <w:color w:val="auto"/>
                <w:sz w:val="22"/>
              </w:rPr>
              <w:t xml:space="preserve"> allow survivors to have representatives join them in investigation activities.</w:t>
            </w:r>
          </w:p>
          <w:p w14:paraId="2B15464E" w14:textId="77777777" w:rsidR="00AB7ACA" w:rsidRPr="00AB7ACA" w:rsidRDefault="00AB7ACA" w:rsidP="00AB7ACA">
            <w:pPr>
              <w:pStyle w:val="Tabletext"/>
              <w:numPr>
                <w:ilvl w:val="0"/>
                <w:numId w:val="49"/>
              </w:numPr>
              <w:spacing w:after="120"/>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Respect the wishes and choices of survivors in relation to safety and support measures, including if they do not wish to access any support services, or if the services a survivor would like to access are different to the options offered by the company.</w:t>
            </w:r>
          </w:p>
        </w:tc>
      </w:tr>
      <w:tr w:rsidR="00AB7ACA" w:rsidRPr="00AB7ACA" w14:paraId="2F6AE5C4" w14:textId="77777777" w:rsidTr="00830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pct"/>
          </w:tcPr>
          <w:p w14:paraId="5743A5E5" w14:textId="77777777" w:rsidR="00AB7ACA" w:rsidRPr="00AB7ACA" w:rsidRDefault="00AB7ACA" w:rsidP="00FB2B6D">
            <w:pPr>
              <w:pStyle w:val="Tabletitle"/>
              <w:spacing w:after="120"/>
              <w:rPr>
                <w:rStyle w:val="NormalBold"/>
                <w:rFonts w:ascii="Cambria" w:hAnsi="Cambria"/>
                <w:color w:val="auto"/>
                <w:sz w:val="22"/>
              </w:rPr>
            </w:pPr>
            <w:r w:rsidRPr="00AB7ACA">
              <w:rPr>
                <w:rStyle w:val="NormalBold"/>
                <w:rFonts w:ascii="Cambria" w:hAnsi="Cambria"/>
                <w:color w:val="auto"/>
                <w:sz w:val="22"/>
              </w:rPr>
              <w:t xml:space="preserve">Confidentiality: </w:t>
            </w:r>
          </w:p>
          <w:p w14:paraId="59401476" w14:textId="77777777" w:rsidR="00AB7ACA" w:rsidRPr="00AB7ACA" w:rsidRDefault="00AB7ACA" w:rsidP="00FB2B6D">
            <w:pPr>
              <w:pStyle w:val="Tabletitle"/>
              <w:rPr>
                <w:rStyle w:val="NormalBold"/>
                <w:rFonts w:ascii="Cambria" w:hAnsi="Cambria"/>
                <w:color w:val="auto"/>
                <w:sz w:val="22"/>
              </w:rPr>
            </w:pPr>
            <w:r w:rsidRPr="00AB7ACA">
              <w:rPr>
                <w:rStyle w:val="NormalBold"/>
                <w:rFonts w:ascii="Cambria" w:hAnsi="Cambria"/>
                <w:color w:val="auto"/>
                <w:sz w:val="22"/>
              </w:rPr>
              <w:t>Ensure there are robust systems in place to ensure confidentiality for survivors, and do not disclose any identifiable information without the informed consent of the person concerned.</w:t>
            </w:r>
          </w:p>
        </w:tc>
        <w:tc>
          <w:tcPr>
            <w:tcW w:w="3948" w:type="pct"/>
          </w:tcPr>
          <w:p w14:paraId="0A5DDDA5" w14:textId="77777777" w:rsidR="00AB7ACA" w:rsidRPr="00AB7ACA" w:rsidRDefault="00AB7ACA" w:rsidP="00AB7ACA">
            <w:pPr>
              <w:pStyle w:val="Tabletext"/>
              <w:numPr>
                <w:ilvl w:val="0"/>
                <w:numId w:val="48"/>
              </w:numPr>
              <w:spacing w:after="12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 xml:space="preserve">Ensure that all details of the report – and any subsequent interviews and investigation – are </w:t>
            </w:r>
            <w:proofErr w:type="gramStart"/>
            <w:r w:rsidRPr="00AB7ACA">
              <w:rPr>
                <w:rStyle w:val="NormalBold"/>
                <w:rFonts w:ascii="Cambria" w:hAnsi="Cambria"/>
                <w:color w:val="auto"/>
                <w:sz w:val="22"/>
              </w:rPr>
              <w:t>kept strictly confidential at all times</w:t>
            </w:r>
            <w:proofErr w:type="gramEnd"/>
            <w:r w:rsidRPr="00AB7ACA">
              <w:rPr>
                <w:rStyle w:val="NormalBold"/>
                <w:rFonts w:ascii="Cambria" w:hAnsi="Cambria"/>
                <w:color w:val="auto"/>
                <w:sz w:val="22"/>
              </w:rPr>
              <w:t xml:space="preserve">, and the identities of any survivors and witnesses are protected to minimise risk of retaliation after a complaint has been made. </w:t>
            </w:r>
          </w:p>
          <w:p w14:paraId="4E0CB033" w14:textId="77777777" w:rsidR="00AB7ACA" w:rsidRPr="00AB7ACA" w:rsidRDefault="00AB7ACA" w:rsidP="00AB7ACA">
            <w:pPr>
              <w:pStyle w:val="ListParagraph"/>
              <w:numPr>
                <w:ilvl w:val="0"/>
                <w:numId w:val="48"/>
              </w:numPr>
              <w:autoSpaceDN/>
              <w:spacing w:after="120" w:line="260" w:lineRule="atLeast"/>
              <w:textAlignment w:val="auto"/>
              <w:cnfStyle w:val="000000100000" w:firstRow="0" w:lastRow="0" w:firstColumn="0" w:lastColumn="0" w:oddVBand="0" w:evenVBand="0" w:oddHBand="1" w:evenHBand="0" w:firstRowFirstColumn="0" w:firstRowLastColumn="0" w:lastRowFirstColumn="0" w:lastRowLastColumn="0"/>
              <w:rPr>
                <w:rStyle w:val="NormalBold"/>
                <w:rFonts w:ascii="Cambria" w:hAnsi="Cambria"/>
                <w:sz w:val="22"/>
                <w:szCs w:val="22"/>
              </w:rPr>
            </w:pPr>
            <w:r w:rsidRPr="00AB7ACA">
              <w:rPr>
                <w:rStyle w:val="NormalBold"/>
                <w:rFonts w:ascii="Cambria" w:hAnsi="Cambria"/>
                <w:sz w:val="22"/>
                <w:szCs w:val="22"/>
              </w:rPr>
              <w:t>Limit the number of people with whom information is shared from the very beginning and ensure that they aware of what they are/are not allowed to communicate to others.</w:t>
            </w:r>
          </w:p>
          <w:p w14:paraId="57D06347" w14:textId="77777777" w:rsidR="00AB7ACA" w:rsidRPr="00AB7ACA" w:rsidRDefault="00AB7ACA" w:rsidP="00AB7ACA">
            <w:pPr>
              <w:pStyle w:val="Tabletext"/>
              <w:numPr>
                <w:ilvl w:val="0"/>
                <w:numId w:val="48"/>
              </w:numPr>
              <w:spacing w:after="12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Link failure to maintain confidentiality to disciplinary procedures and make this clear to all.</w:t>
            </w:r>
          </w:p>
          <w:p w14:paraId="707D70F5" w14:textId="77777777" w:rsidR="00AB7ACA" w:rsidRPr="00AB7ACA" w:rsidRDefault="00AB7ACA" w:rsidP="00AB7ACA">
            <w:pPr>
              <w:pStyle w:val="Tabletext"/>
              <w:numPr>
                <w:ilvl w:val="0"/>
                <w:numId w:val="48"/>
              </w:numPr>
              <w:spacing w:after="12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Give thought to the timing and location of any initial conversations and discussions, investigation activities, including interviews, and support measures so that they are away from worksites and not observed by others.</w:t>
            </w:r>
          </w:p>
          <w:p w14:paraId="176362DD" w14:textId="77777777" w:rsidR="00AB7ACA" w:rsidRPr="00AB7ACA" w:rsidRDefault="00AB7ACA" w:rsidP="00AB7ACA">
            <w:pPr>
              <w:pStyle w:val="Tabletext"/>
              <w:numPr>
                <w:ilvl w:val="0"/>
                <w:numId w:val="48"/>
              </w:numPr>
              <w:spacing w:after="120"/>
              <w:cnfStyle w:val="000000100000" w:firstRow="0" w:lastRow="0" w:firstColumn="0" w:lastColumn="0" w:oddVBand="0" w:evenVBand="0" w:oddHBand="1"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File all paper and electronic information in secure locations.</w:t>
            </w:r>
          </w:p>
          <w:p w14:paraId="5AD47580" w14:textId="77777777" w:rsidR="00AB7ACA" w:rsidRPr="00AB7ACA" w:rsidRDefault="00AB7ACA" w:rsidP="00AB7ACA">
            <w:pPr>
              <w:pStyle w:val="ListParagraph"/>
              <w:numPr>
                <w:ilvl w:val="0"/>
                <w:numId w:val="48"/>
              </w:numPr>
              <w:autoSpaceDN/>
              <w:spacing w:after="120" w:line="260" w:lineRule="atLeast"/>
              <w:ind w:left="357" w:hanging="357"/>
              <w:contextualSpacing w:val="0"/>
              <w:textAlignment w:val="auto"/>
              <w:cnfStyle w:val="000000100000" w:firstRow="0" w:lastRow="0" w:firstColumn="0" w:lastColumn="0" w:oddVBand="0" w:evenVBand="0" w:oddHBand="1" w:evenHBand="0" w:firstRowFirstColumn="0" w:firstRowLastColumn="0" w:lastRowFirstColumn="0" w:lastRowLastColumn="0"/>
              <w:rPr>
                <w:rStyle w:val="NormalBold"/>
                <w:rFonts w:ascii="Cambria" w:hAnsi="Cambria"/>
                <w:sz w:val="22"/>
                <w:szCs w:val="22"/>
              </w:rPr>
            </w:pPr>
            <w:r w:rsidRPr="00AB7ACA">
              <w:rPr>
                <w:rStyle w:val="NormalBold"/>
                <w:rFonts w:ascii="Cambria" w:hAnsi="Cambria"/>
                <w:sz w:val="22"/>
                <w:szCs w:val="22"/>
              </w:rPr>
              <w:t>Ensure that staff responsible for handling reports of GBVH and commissioning investigations are aware of the importance of maintaining confidentiality and confidential data management protocols.</w:t>
            </w:r>
          </w:p>
          <w:p w14:paraId="23AC98B4" w14:textId="77777777" w:rsidR="00AB7ACA" w:rsidRPr="00AB7ACA" w:rsidRDefault="00AB7ACA" w:rsidP="00AB7ACA">
            <w:pPr>
              <w:pStyle w:val="ListParagraph"/>
              <w:numPr>
                <w:ilvl w:val="0"/>
                <w:numId w:val="48"/>
              </w:numPr>
              <w:autoSpaceDN/>
              <w:spacing w:after="120" w:line="260" w:lineRule="atLeast"/>
              <w:ind w:left="357" w:hanging="357"/>
              <w:contextualSpacing w:val="0"/>
              <w:textAlignment w:val="auto"/>
              <w:cnfStyle w:val="000000100000" w:firstRow="0" w:lastRow="0" w:firstColumn="0" w:lastColumn="0" w:oddVBand="0" w:evenVBand="0" w:oddHBand="1" w:evenHBand="0" w:firstRowFirstColumn="0" w:firstRowLastColumn="0" w:lastRowFirstColumn="0" w:lastRowLastColumn="0"/>
              <w:rPr>
                <w:rStyle w:val="NormalBold"/>
                <w:rFonts w:ascii="Cambria" w:hAnsi="Cambria"/>
                <w:sz w:val="22"/>
                <w:szCs w:val="22"/>
              </w:rPr>
            </w:pPr>
            <w:r w:rsidRPr="00AB7ACA">
              <w:rPr>
                <w:rStyle w:val="NormalBold"/>
                <w:rFonts w:ascii="Cambria" w:hAnsi="Cambria"/>
                <w:sz w:val="22"/>
                <w:szCs w:val="22"/>
              </w:rPr>
              <w:t>Obtain informed consent from survivors before sharing any information, including in the context of a referral.</w:t>
            </w:r>
          </w:p>
        </w:tc>
      </w:tr>
      <w:tr w:rsidR="00AB7ACA" w:rsidRPr="00AB7ACA" w14:paraId="6FDC811E" w14:textId="77777777" w:rsidTr="00830D3A">
        <w:tc>
          <w:tcPr>
            <w:cnfStyle w:val="001000000000" w:firstRow="0" w:lastRow="0" w:firstColumn="1" w:lastColumn="0" w:oddVBand="0" w:evenVBand="0" w:oddHBand="0" w:evenHBand="0" w:firstRowFirstColumn="0" w:firstRowLastColumn="0" w:lastRowFirstColumn="0" w:lastRowLastColumn="0"/>
            <w:tcW w:w="1052" w:type="pct"/>
          </w:tcPr>
          <w:p w14:paraId="32FD68C5" w14:textId="77777777" w:rsidR="00AB7ACA" w:rsidRPr="00AB7ACA" w:rsidRDefault="00AB7ACA" w:rsidP="00FB2B6D">
            <w:pPr>
              <w:pStyle w:val="Tabletitle"/>
              <w:spacing w:after="120"/>
              <w:rPr>
                <w:rStyle w:val="NormalBold"/>
                <w:rFonts w:ascii="Cambria" w:hAnsi="Cambria"/>
                <w:color w:val="auto"/>
                <w:sz w:val="22"/>
              </w:rPr>
            </w:pPr>
            <w:r w:rsidRPr="00AB7ACA">
              <w:rPr>
                <w:rStyle w:val="NormalBold"/>
                <w:rFonts w:ascii="Cambria" w:hAnsi="Cambria"/>
                <w:color w:val="auto"/>
                <w:sz w:val="22"/>
              </w:rPr>
              <w:t xml:space="preserve">Respect: </w:t>
            </w:r>
          </w:p>
          <w:p w14:paraId="3EA91BDE" w14:textId="77777777" w:rsidR="00AB7ACA" w:rsidRPr="00AB7ACA" w:rsidRDefault="00AB7ACA" w:rsidP="00FB2B6D">
            <w:pPr>
              <w:pStyle w:val="Tabletitle"/>
              <w:rPr>
                <w:rStyle w:val="NormalBold"/>
                <w:rFonts w:ascii="Cambria" w:hAnsi="Cambria"/>
                <w:color w:val="auto"/>
                <w:sz w:val="22"/>
              </w:rPr>
            </w:pPr>
            <w:r w:rsidRPr="00AB7ACA">
              <w:rPr>
                <w:rStyle w:val="NormalBold"/>
                <w:rFonts w:ascii="Cambria" w:hAnsi="Cambria"/>
                <w:color w:val="auto"/>
                <w:sz w:val="22"/>
              </w:rPr>
              <w:t xml:space="preserve">Treat survivors with dignity and respect, taking time to listen to what they have to say rather than rushing to </w:t>
            </w:r>
            <w:proofErr w:type="gramStart"/>
            <w:r w:rsidRPr="00AB7ACA">
              <w:rPr>
                <w:rStyle w:val="NormalBold"/>
                <w:rFonts w:ascii="Cambria" w:hAnsi="Cambria"/>
                <w:color w:val="auto"/>
                <w:sz w:val="22"/>
              </w:rPr>
              <w:t>take action</w:t>
            </w:r>
            <w:proofErr w:type="gramEnd"/>
            <w:r w:rsidRPr="00AB7ACA">
              <w:rPr>
                <w:rStyle w:val="NormalBold"/>
                <w:rFonts w:ascii="Cambria" w:hAnsi="Cambria"/>
                <w:color w:val="auto"/>
                <w:sz w:val="22"/>
              </w:rPr>
              <w:t xml:space="preserve">. </w:t>
            </w:r>
          </w:p>
          <w:p w14:paraId="789EE65E" w14:textId="77777777" w:rsidR="00AB7ACA" w:rsidRPr="00AB7ACA" w:rsidRDefault="00AB7ACA" w:rsidP="00FB2B6D">
            <w:pPr>
              <w:pStyle w:val="Tabletext"/>
              <w:rPr>
                <w:rStyle w:val="NormalBold"/>
                <w:rFonts w:ascii="Cambria" w:hAnsi="Cambria"/>
                <w:color w:val="auto"/>
                <w:sz w:val="22"/>
              </w:rPr>
            </w:pPr>
          </w:p>
          <w:p w14:paraId="02F8925F" w14:textId="77777777" w:rsidR="00AB7ACA" w:rsidRPr="00AB7ACA" w:rsidRDefault="00AB7ACA" w:rsidP="00FB2B6D">
            <w:pPr>
              <w:pStyle w:val="Tabletitle"/>
              <w:rPr>
                <w:rStyle w:val="NormalBold"/>
                <w:rFonts w:ascii="Cambria" w:hAnsi="Cambria"/>
                <w:color w:val="auto"/>
                <w:sz w:val="22"/>
              </w:rPr>
            </w:pPr>
            <w:r w:rsidRPr="00AB7ACA">
              <w:rPr>
                <w:rStyle w:val="NormalBold"/>
                <w:rFonts w:ascii="Cambria" w:hAnsi="Cambria"/>
                <w:color w:val="auto"/>
                <w:sz w:val="22"/>
              </w:rPr>
              <w:t>Treat all survivors equally and non-judgmentally, making sure their experience is not unfairly dismissed.</w:t>
            </w:r>
          </w:p>
        </w:tc>
        <w:tc>
          <w:tcPr>
            <w:tcW w:w="3948" w:type="pct"/>
          </w:tcPr>
          <w:p w14:paraId="1514017C" w14:textId="77777777" w:rsidR="00AB7ACA" w:rsidRPr="00AB7ACA" w:rsidRDefault="00AB7ACA" w:rsidP="00AB7ACA">
            <w:pPr>
              <w:pStyle w:val="Tabletext"/>
              <w:numPr>
                <w:ilvl w:val="0"/>
                <w:numId w:val="50"/>
              </w:numPr>
              <w:spacing w:after="120"/>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 xml:space="preserve">All actions should be guided by respect for survivors’ choices, wishes, rights and dignity. When a report of GBVH is received, take time to listen to what a survivor has to say rather than rushing to judgment or to </w:t>
            </w:r>
            <w:proofErr w:type="gramStart"/>
            <w:r w:rsidRPr="00AB7ACA">
              <w:rPr>
                <w:rStyle w:val="NormalBold"/>
                <w:rFonts w:ascii="Cambria" w:hAnsi="Cambria"/>
                <w:color w:val="auto"/>
                <w:sz w:val="22"/>
              </w:rPr>
              <w:t>take action</w:t>
            </w:r>
            <w:proofErr w:type="gramEnd"/>
            <w:r w:rsidRPr="00AB7ACA">
              <w:rPr>
                <w:rStyle w:val="NormalBold"/>
                <w:rFonts w:ascii="Cambria" w:hAnsi="Cambria"/>
                <w:color w:val="auto"/>
                <w:sz w:val="22"/>
              </w:rPr>
              <w:t>.</w:t>
            </w:r>
          </w:p>
          <w:p w14:paraId="3B89A3A7" w14:textId="77777777" w:rsidR="00AB7ACA" w:rsidRPr="00AB7ACA" w:rsidRDefault="00AB7ACA" w:rsidP="00AB7ACA">
            <w:pPr>
              <w:pStyle w:val="Tabletext"/>
              <w:numPr>
                <w:ilvl w:val="0"/>
                <w:numId w:val="50"/>
              </w:numPr>
              <w:spacing w:after="120"/>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Ensure that survivors are treated equally, and the severity of an incident or credibility of a report is not diminished based on their age, sexual orientation, gender identity, appearance, sexual history, engagement in sex work, or delay in reporting.</w:t>
            </w:r>
          </w:p>
          <w:p w14:paraId="2A581197" w14:textId="77777777" w:rsidR="00AB7ACA" w:rsidRPr="00AB7ACA" w:rsidRDefault="00AB7ACA" w:rsidP="00AB7ACA">
            <w:pPr>
              <w:pStyle w:val="Tabletext"/>
              <w:numPr>
                <w:ilvl w:val="0"/>
                <w:numId w:val="50"/>
              </w:numPr>
              <w:spacing w:after="80"/>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Ensure that staff training and other awareness-raising activities emphasise positive collective action against GBVH and challenge harmful stereotypes and victim-blaming attitudes.</w:t>
            </w:r>
          </w:p>
          <w:p w14:paraId="0FA7921E" w14:textId="77777777" w:rsidR="00AB7ACA" w:rsidRPr="00AB7ACA" w:rsidRDefault="00AB7ACA" w:rsidP="00AB7ACA">
            <w:pPr>
              <w:pStyle w:val="Tabletext"/>
              <w:numPr>
                <w:ilvl w:val="0"/>
                <w:numId w:val="50"/>
              </w:numPr>
              <w:spacing w:after="80"/>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 xml:space="preserve">Respect the wishes of survivors in relation to the investigation and reporting to the authorities and seek expert advice in complex situations. </w:t>
            </w:r>
          </w:p>
          <w:p w14:paraId="2A9D4E95" w14:textId="77777777" w:rsidR="00AB7ACA" w:rsidRPr="00AB7ACA" w:rsidRDefault="00AB7ACA" w:rsidP="00AB7ACA">
            <w:pPr>
              <w:pStyle w:val="Tabletext"/>
              <w:numPr>
                <w:ilvl w:val="0"/>
                <w:numId w:val="50"/>
              </w:numPr>
              <w:spacing w:after="120"/>
              <w:cnfStyle w:val="000000000000" w:firstRow="0" w:lastRow="0" w:firstColumn="0" w:lastColumn="0" w:oddVBand="0" w:evenVBand="0" w:oddHBand="0" w:evenHBand="0" w:firstRowFirstColumn="0" w:firstRowLastColumn="0" w:lastRowFirstColumn="0" w:lastRowLastColumn="0"/>
              <w:rPr>
                <w:rStyle w:val="NormalBold"/>
                <w:rFonts w:ascii="Cambria" w:hAnsi="Cambria"/>
                <w:color w:val="auto"/>
                <w:sz w:val="22"/>
              </w:rPr>
            </w:pPr>
            <w:r w:rsidRPr="00AB7ACA">
              <w:rPr>
                <w:rStyle w:val="NormalBold"/>
                <w:rFonts w:ascii="Cambria" w:hAnsi="Cambria"/>
                <w:color w:val="auto"/>
                <w:sz w:val="22"/>
              </w:rPr>
              <w:t>Regularly communicate with survivors to ensure their wishes continue to inform decision-making about the company’s response to the report.</w:t>
            </w:r>
          </w:p>
        </w:tc>
      </w:tr>
    </w:tbl>
    <w:p w14:paraId="5C676352" w14:textId="77777777" w:rsidR="00872236" w:rsidRDefault="00872236" w:rsidP="00872236">
      <w:pPr>
        <w:spacing w:line="312" w:lineRule="auto"/>
        <w:rPr>
          <w:rFonts w:asciiTheme="minorHAnsi" w:hAnsiTheme="minorHAnsi"/>
        </w:rPr>
      </w:pPr>
      <w:bookmarkStart w:id="0" w:name="_Toc127984740"/>
    </w:p>
    <w:p w14:paraId="7150C07B" w14:textId="771E845C" w:rsidR="002D131F" w:rsidRDefault="002D131F" w:rsidP="002D131F">
      <w:pPr>
        <w:pStyle w:val="Heading1"/>
      </w:pPr>
      <w:r>
        <w:t xml:space="preserve">Offering support to survivors </w:t>
      </w:r>
    </w:p>
    <w:p w14:paraId="75B290CE" w14:textId="77777777" w:rsidR="002D131F" w:rsidRDefault="002D131F" w:rsidP="002D131F"/>
    <w:p w14:paraId="2700ADF8" w14:textId="4E6EDCDF" w:rsidR="002D131F" w:rsidRPr="002D131F" w:rsidRDefault="001E0F06" w:rsidP="002D131F">
      <w:r w:rsidRPr="001E0F06">
        <w:t>Support offered to survivors can include a range of options as practicable and appropriate to the circumstances (see table below). All those who bring forward a GBVH complaint should be given information on available support and safety measures. To facilitate this, companies should maintain a list of local support services who can provide health, legal and psycho-social support to survivors, and provide referrals where necessary.</w:t>
      </w:r>
    </w:p>
    <w:p w14:paraId="6DA539AF" w14:textId="77777777" w:rsidR="00872236" w:rsidRDefault="00872236" w:rsidP="00872236">
      <w:pPr>
        <w:spacing w:line="312" w:lineRule="auto"/>
        <w:rPr>
          <w:rFonts w:asciiTheme="minorHAnsi" w:hAnsiTheme="minorHAnsi"/>
        </w:rPr>
      </w:pPr>
    </w:p>
    <w:p w14:paraId="50B6D443" w14:textId="57761F53" w:rsidR="00C942F9" w:rsidRPr="00830D3A" w:rsidRDefault="00C942F9" w:rsidP="00872236">
      <w:pPr>
        <w:spacing w:line="312" w:lineRule="auto"/>
        <w:rPr>
          <w:rFonts w:asciiTheme="minorHAnsi" w:hAnsiTheme="minorHAnsi"/>
          <w:sz w:val="22"/>
          <w:szCs w:val="22"/>
        </w:rPr>
      </w:pPr>
      <w:r w:rsidRPr="00830D3A">
        <w:rPr>
          <w:rFonts w:asciiTheme="minorHAnsi" w:hAnsiTheme="minorHAnsi"/>
          <w:sz w:val="22"/>
          <w:szCs w:val="22"/>
        </w:rPr>
        <w:t>Overview of potential support options and services</w:t>
      </w:r>
    </w:p>
    <w:tbl>
      <w:tblPr>
        <w:tblStyle w:val="GridTable7Colorful-Accent2"/>
        <w:tblW w:w="5000" w:type="pct"/>
        <w:tblLook w:val="0480" w:firstRow="0" w:lastRow="0" w:firstColumn="1" w:lastColumn="0" w:noHBand="0" w:noVBand="1"/>
      </w:tblPr>
      <w:tblGrid>
        <w:gridCol w:w="1597"/>
        <w:gridCol w:w="8490"/>
      </w:tblGrid>
      <w:tr w:rsidR="000F7EB1" w:rsidRPr="000F7EB1" w14:paraId="5B8A8BE0" w14:textId="77777777" w:rsidTr="000F7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31B3BEAA" w14:textId="77777777" w:rsidR="000F7EB1" w:rsidRPr="000F7EB1" w:rsidRDefault="000F7EB1" w:rsidP="000F7EB1">
            <w:pPr>
              <w:pStyle w:val="Tabletitle"/>
              <w:jc w:val="left"/>
              <w:rPr>
                <w:b/>
                <w:bCs/>
                <w:i w:val="0"/>
                <w:iCs w:val="0"/>
                <w:color w:val="auto"/>
                <w:sz w:val="22"/>
              </w:rPr>
            </w:pPr>
            <w:r w:rsidRPr="000F7EB1">
              <w:rPr>
                <w:b/>
                <w:bCs/>
                <w:i w:val="0"/>
                <w:iCs w:val="0"/>
                <w:color w:val="auto"/>
                <w:sz w:val="22"/>
              </w:rPr>
              <w:t>Counselling</w:t>
            </w:r>
          </w:p>
        </w:tc>
        <w:tc>
          <w:tcPr>
            <w:tcW w:w="4438" w:type="pct"/>
          </w:tcPr>
          <w:p w14:paraId="57A658FF" w14:textId="77777777" w:rsidR="000F7EB1" w:rsidRPr="000F7EB1" w:rsidRDefault="000F7EB1" w:rsidP="000F7EB1">
            <w:pPr>
              <w:pStyle w:val="Tabletext"/>
              <w:spacing w:after="120"/>
              <w:cnfStyle w:val="000000100000" w:firstRow="0" w:lastRow="0" w:firstColumn="0" w:lastColumn="0" w:oddVBand="0" w:evenVBand="0" w:oddHBand="1" w:evenHBand="0" w:firstRowFirstColumn="0" w:firstRowLastColumn="0" w:lastRowFirstColumn="0" w:lastRowLastColumn="0"/>
              <w:rPr>
                <w:color w:val="auto"/>
                <w:sz w:val="22"/>
              </w:rPr>
            </w:pPr>
            <w:r w:rsidRPr="000F7EB1">
              <w:rPr>
                <w:color w:val="auto"/>
                <w:sz w:val="22"/>
              </w:rPr>
              <w:t xml:space="preserve">Professional counselling can help survivors to process trauma and provide ongoing support. This may be provided through partnerships with local counselling services, specialist GBVH service providers or, in cases where this is not possible, access to remote counselling services via phone or the internet. Where possible, counselling services should be offered in the same cultural context as the business and in the same languages as workers. </w:t>
            </w:r>
          </w:p>
          <w:p w14:paraId="23B1154A" w14:textId="77777777" w:rsidR="000F7EB1" w:rsidRPr="000F7EB1" w:rsidRDefault="000F7EB1" w:rsidP="000F7EB1">
            <w:pPr>
              <w:pStyle w:val="Tabletext"/>
              <w:spacing w:after="120"/>
              <w:cnfStyle w:val="000000100000" w:firstRow="0" w:lastRow="0" w:firstColumn="0" w:lastColumn="0" w:oddVBand="0" w:evenVBand="0" w:oddHBand="1" w:evenHBand="0" w:firstRowFirstColumn="0" w:firstRowLastColumn="0" w:lastRowFirstColumn="0" w:lastRowLastColumn="0"/>
              <w:rPr>
                <w:color w:val="auto"/>
                <w:sz w:val="22"/>
              </w:rPr>
            </w:pPr>
            <w:r w:rsidRPr="000F7EB1">
              <w:rPr>
                <w:color w:val="auto"/>
                <w:sz w:val="22"/>
              </w:rPr>
              <w:t>In-house counselling is only recommended if the company employs an accredited counsellor on staff. S</w:t>
            </w:r>
            <w:r w:rsidRPr="000F7EB1">
              <w:rPr>
                <w:rFonts w:cs="Arial Unicode MS"/>
                <w:color w:val="auto"/>
                <w:sz w:val="22"/>
              </w:rPr>
              <w:t xml:space="preserve">taff responsible for handling reports of GBVH </w:t>
            </w:r>
            <w:r w:rsidRPr="000F7EB1">
              <w:rPr>
                <w:color w:val="auto"/>
                <w:sz w:val="22"/>
              </w:rPr>
              <w:t xml:space="preserve">should also be trained to offer </w:t>
            </w:r>
            <w:hyperlink r:id="rId12" w:history="1">
              <w:r w:rsidRPr="000F7EB1">
                <w:rPr>
                  <w:rStyle w:val="Hyperlink"/>
                  <w:color w:val="auto"/>
                  <w:sz w:val="22"/>
                </w:rPr>
                <w:t>basic psychosocial first aid</w:t>
              </w:r>
            </w:hyperlink>
            <w:r w:rsidRPr="000F7EB1">
              <w:rPr>
                <w:color w:val="auto"/>
                <w:sz w:val="22"/>
              </w:rPr>
              <w:t xml:space="preserve"> as an immediate response.</w:t>
            </w:r>
          </w:p>
        </w:tc>
      </w:tr>
      <w:tr w:rsidR="000F7EB1" w:rsidRPr="000F7EB1" w14:paraId="27F52C79" w14:textId="77777777" w:rsidTr="000F7EB1">
        <w:tc>
          <w:tcPr>
            <w:cnfStyle w:val="001000000000" w:firstRow="0" w:lastRow="0" w:firstColumn="1" w:lastColumn="0" w:oddVBand="0" w:evenVBand="0" w:oddHBand="0" w:evenHBand="0" w:firstRowFirstColumn="0" w:firstRowLastColumn="0" w:lastRowFirstColumn="0" w:lastRowLastColumn="0"/>
            <w:tcW w:w="562" w:type="pct"/>
          </w:tcPr>
          <w:p w14:paraId="6D2501F7" w14:textId="77777777" w:rsidR="000F7EB1" w:rsidRPr="000F7EB1" w:rsidRDefault="000F7EB1" w:rsidP="000F7EB1">
            <w:pPr>
              <w:pStyle w:val="Tabletitle"/>
              <w:jc w:val="left"/>
              <w:rPr>
                <w:b/>
                <w:bCs/>
                <w:i w:val="0"/>
                <w:iCs w:val="0"/>
                <w:color w:val="auto"/>
                <w:sz w:val="22"/>
              </w:rPr>
            </w:pPr>
            <w:r w:rsidRPr="000F7EB1">
              <w:rPr>
                <w:b/>
                <w:bCs/>
                <w:i w:val="0"/>
                <w:iCs w:val="0"/>
                <w:color w:val="auto"/>
                <w:sz w:val="22"/>
              </w:rPr>
              <w:t>Legal assistance</w:t>
            </w:r>
          </w:p>
        </w:tc>
        <w:tc>
          <w:tcPr>
            <w:tcW w:w="4438" w:type="pct"/>
          </w:tcPr>
          <w:p w14:paraId="3FC948A8" w14:textId="77777777" w:rsidR="000F7EB1" w:rsidRPr="000F7EB1" w:rsidRDefault="000F7EB1" w:rsidP="000F7EB1">
            <w:pPr>
              <w:pStyle w:val="Tabletext"/>
              <w:spacing w:after="120"/>
              <w:cnfStyle w:val="000000000000" w:firstRow="0" w:lastRow="0" w:firstColumn="0" w:lastColumn="0" w:oddVBand="0" w:evenVBand="0" w:oddHBand="0" w:evenHBand="0" w:firstRowFirstColumn="0" w:firstRowLastColumn="0" w:lastRowFirstColumn="0" w:lastRowLastColumn="0"/>
              <w:rPr>
                <w:color w:val="auto"/>
                <w:sz w:val="22"/>
              </w:rPr>
            </w:pPr>
            <w:r w:rsidRPr="000F7EB1">
              <w:rPr>
                <w:color w:val="auto"/>
                <w:sz w:val="22"/>
              </w:rPr>
              <w:t xml:space="preserve">Where a report of GBVH involves a criminal offence, survivors may wish to pursue the matter through the justice system, in addition to any internal action taken against the subject of complaint by the company. The company can assist by providing information about organisations that can offer legal advice and support. </w:t>
            </w:r>
          </w:p>
        </w:tc>
      </w:tr>
      <w:tr w:rsidR="000F7EB1" w:rsidRPr="000F7EB1" w14:paraId="56D85777" w14:textId="77777777" w:rsidTr="000F7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03B7F6D3" w14:textId="77777777" w:rsidR="000F7EB1" w:rsidRPr="000F7EB1" w:rsidRDefault="000F7EB1" w:rsidP="000F7EB1">
            <w:pPr>
              <w:pStyle w:val="Tabletitle"/>
              <w:jc w:val="left"/>
              <w:rPr>
                <w:b/>
                <w:bCs/>
                <w:i w:val="0"/>
                <w:iCs w:val="0"/>
                <w:color w:val="auto"/>
                <w:sz w:val="22"/>
              </w:rPr>
            </w:pPr>
            <w:r w:rsidRPr="000F7EB1">
              <w:rPr>
                <w:b/>
                <w:bCs/>
                <w:i w:val="0"/>
                <w:iCs w:val="0"/>
                <w:color w:val="auto"/>
                <w:sz w:val="22"/>
              </w:rPr>
              <w:t>Additional paid leave</w:t>
            </w:r>
          </w:p>
        </w:tc>
        <w:tc>
          <w:tcPr>
            <w:tcW w:w="4438" w:type="pct"/>
          </w:tcPr>
          <w:p w14:paraId="4384C076" w14:textId="77777777" w:rsidR="000F7EB1" w:rsidRPr="000F7EB1" w:rsidRDefault="000F7EB1" w:rsidP="000F7EB1">
            <w:pPr>
              <w:pStyle w:val="Tabletext"/>
              <w:spacing w:after="120"/>
              <w:cnfStyle w:val="000000100000" w:firstRow="0" w:lastRow="0" w:firstColumn="0" w:lastColumn="0" w:oddVBand="0" w:evenVBand="0" w:oddHBand="1" w:evenHBand="0" w:firstRowFirstColumn="0" w:firstRowLastColumn="0" w:lastRowFirstColumn="0" w:lastRowLastColumn="0"/>
              <w:rPr>
                <w:color w:val="auto"/>
                <w:sz w:val="22"/>
              </w:rPr>
            </w:pPr>
            <w:r w:rsidRPr="000F7EB1">
              <w:rPr>
                <w:color w:val="auto"/>
                <w:sz w:val="22"/>
              </w:rPr>
              <w:t>Where the survivor is a worker, the company may consider offering additional paid leave days. Survivors should not be required to take leave while their allegation is being investigated.</w:t>
            </w:r>
          </w:p>
        </w:tc>
      </w:tr>
      <w:tr w:rsidR="000F7EB1" w:rsidRPr="000F7EB1" w14:paraId="741CC714" w14:textId="77777777" w:rsidTr="000F7EB1">
        <w:tc>
          <w:tcPr>
            <w:cnfStyle w:val="001000000000" w:firstRow="0" w:lastRow="0" w:firstColumn="1" w:lastColumn="0" w:oddVBand="0" w:evenVBand="0" w:oddHBand="0" w:evenHBand="0" w:firstRowFirstColumn="0" w:firstRowLastColumn="0" w:lastRowFirstColumn="0" w:lastRowLastColumn="0"/>
            <w:tcW w:w="562" w:type="pct"/>
          </w:tcPr>
          <w:p w14:paraId="44A05FF3" w14:textId="77777777" w:rsidR="000F7EB1" w:rsidRPr="000F7EB1" w:rsidRDefault="000F7EB1" w:rsidP="000F7EB1">
            <w:pPr>
              <w:pStyle w:val="Tabletitle"/>
              <w:jc w:val="left"/>
              <w:rPr>
                <w:b/>
                <w:bCs/>
                <w:i w:val="0"/>
                <w:iCs w:val="0"/>
                <w:color w:val="auto"/>
                <w:sz w:val="22"/>
              </w:rPr>
            </w:pPr>
            <w:r w:rsidRPr="000F7EB1">
              <w:rPr>
                <w:b/>
                <w:bCs/>
                <w:i w:val="0"/>
                <w:iCs w:val="0"/>
                <w:color w:val="auto"/>
                <w:sz w:val="22"/>
              </w:rPr>
              <w:t>Job reassignment</w:t>
            </w:r>
          </w:p>
        </w:tc>
        <w:tc>
          <w:tcPr>
            <w:tcW w:w="4438" w:type="pct"/>
          </w:tcPr>
          <w:p w14:paraId="578DC072" w14:textId="77777777" w:rsidR="000F7EB1" w:rsidRPr="000F7EB1" w:rsidRDefault="000F7EB1" w:rsidP="000F7EB1">
            <w:pPr>
              <w:pStyle w:val="Tabletext"/>
              <w:spacing w:after="120"/>
              <w:cnfStyle w:val="000000000000" w:firstRow="0" w:lastRow="0" w:firstColumn="0" w:lastColumn="0" w:oddVBand="0" w:evenVBand="0" w:oddHBand="0" w:evenHBand="0" w:firstRowFirstColumn="0" w:firstRowLastColumn="0" w:lastRowFirstColumn="0" w:lastRowLastColumn="0"/>
              <w:rPr>
                <w:color w:val="auto"/>
                <w:sz w:val="22"/>
              </w:rPr>
            </w:pPr>
            <w:r w:rsidRPr="000F7EB1">
              <w:rPr>
                <w:color w:val="auto"/>
                <w:sz w:val="22"/>
              </w:rPr>
              <w:t>After the report is made, the company may be able to arrange for the survivor or subject of complaint to move to a new location or role to prevent any further risk of harm, including retaliation. This should only happen voluntarily at the request of survivors.</w:t>
            </w:r>
          </w:p>
        </w:tc>
      </w:tr>
      <w:tr w:rsidR="000F7EB1" w:rsidRPr="000F7EB1" w14:paraId="1B06105A" w14:textId="77777777" w:rsidTr="000F7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0F0E392A" w14:textId="77777777" w:rsidR="000F7EB1" w:rsidRPr="000F7EB1" w:rsidRDefault="000F7EB1" w:rsidP="000F7EB1">
            <w:pPr>
              <w:pStyle w:val="Tabletitle"/>
              <w:jc w:val="left"/>
              <w:rPr>
                <w:b/>
                <w:bCs/>
                <w:i w:val="0"/>
                <w:iCs w:val="0"/>
                <w:color w:val="auto"/>
                <w:sz w:val="22"/>
              </w:rPr>
            </w:pPr>
            <w:r w:rsidRPr="000F7EB1">
              <w:rPr>
                <w:b/>
                <w:bCs/>
                <w:i w:val="0"/>
                <w:iCs w:val="0"/>
                <w:color w:val="auto"/>
                <w:sz w:val="22"/>
              </w:rPr>
              <w:t>Employment assistance</w:t>
            </w:r>
          </w:p>
        </w:tc>
        <w:tc>
          <w:tcPr>
            <w:tcW w:w="4438" w:type="pct"/>
          </w:tcPr>
          <w:p w14:paraId="2FB3AD24" w14:textId="77777777" w:rsidR="000F7EB1" w:rsidRPr="000F7EB1" w:rsidRDefault="000F7EB1" w:rsidP="000F7EB1">
            <w:pPr>
              <w:pStyle w:val="Tabletext"/>
              <w:spacing w:after="120"/>
              <w:cnfStyle w:val="000000100000" w:firstRow="0" w:lastRow="0" w:firstColumn="0" w:lastColumn="0" w:oddVBand="0" w:evenVBand="0" w:oddHBand="1" w:evenHBand="0" w:firstRowFirstColumn="0" w:firstRowLastColumn="0" w:lastRowFirstColumn="0" w:lastRowLastColumn="0"/>
              <w:rPr>
                <w:color w:val="auto"/>
                <w:sz w:val="22"/>
              </w:rPr>
            </w:pPr>
            <w:r w:rsidRPr="000F7EB1">
              <w:rPr>
                <w:color w:val="auto"/>
                <w:sz w:val="22"/>
              </w:rPr>
              <w:t>Even in the context of ongoing support, some survivors may feel they are unable to continue to work with the company. The company can support them to access information about alternative employment opportunities.</w:t>
            </w:r>
          </w:p>
        </w:tc>
      </w:tr>
      <w:tr w:rsidR="000F7EB1" w:rsidRPr="000F7EB1" w14:paraId="0D90A6B7" w14:textId="77777777" w:rsidTr="000F7EB1">
        <w:tc>
          <w:tcPr>
            <w:cnfStyle w:val="001000000000" w:firstRow="0" w:lastRow="0" w:firstColumn="1" w:lastColumn="0" w:oddVBand="0" w:evenVBand="0" w:oddHBand="0" w:evenHBand="0" w:firstRowFirstColumn="0" w:firstRowLastColumn="0" w:lastRowFirstColumn="0" w:lastRowLastColumn="0"/>
            <w:tcW w:w="562" w:type="pct"/>
          </w:tcPr>
          <w:p w14:paraId="52AE111B" w14:textId="77777777" w:rsidR="000F7EB1" w:rsidRPr="000F7EB1" w:rsidRDefault="000F7EB1" w:rsidP="000F7EB1">
            <w:pPr>
              <w:pStyle w:val="Tabletitle"/>
              <w:jc w:val="left"/>
              <w:rPr>
                <w:b/>
                <w:bCs/>
                <w:i w:val="0"/>
                <w:iCs w:val="0"/>
                <w:color w:val="auto"/>
                <w:sz w:val="22"/>
              </w:rPr>
            </w:pPr>
            <w:r w:rsidRPr="000F7EB1">
              <w:rPr>
                <w:b/>
                <w:bCs/>
                <w:i w:val="0"/>
                <w:iCs w:val="0"/>
                <w:color w:val="auto"/>
                <w:sz w:val="22"/>
              </w:rPr>
              <w:t>Financial assistance</w:t>
            </w:r>
          </w:p>
        </w:tc>
        <w:tc>
          <w:tcPr>
            <w:tcW w:w="4438" w:type="pct"/>
          </w:tcPr>
          <w:p w14:paraId="7AD30C6D" w14:textId="77777777" w:rsidR="000F7EB1" w:rsidRPr="000F7EB1" w:rsidRDefault="000F7EB1" w:rsidP="000F7EB1">
            <w:pPr>
              <w:pStyle w:val="Tabletext"/>
              <w:spacing w:after="120"/>
              <w:cnfStyle w:val="000000000000" w:firstRow="0" w:lastRow="0" w:firstColumn="0" w:lastColumn="0" w:oddVBand="0" w:evenVBand="0" w:oddHBand="0" w:evenHBand="0" w:firstRowFirstColumn="0" w:firstRowLastColumn="0" w:lastRowFirstColumn="0" w:lastRowLastColumn="0"/>
              <w:rPr>
                <w:color w:val="auto"/>
                <w:sz w:val="22"/>
              </w:rPr>
            </w:pPr>
            <w:r w:rsidRPr="000F7EB1">
              <w:rPr>
                <w:color w:val="auto"/>
                <w:sz w:val="22"/>
              </w:rPr>
              <w:t>If survivors need to take time off after an incident has occurred or if they need to pay for extended counselling services, the company can consider offering financial support.</w:t>
            </w:r>
          </w:p>
        </w:tc>
      </w:tr>
      <w:tr w:rsidR="000F7EB1" w:rsidRPr="000F7EB1" w14:paraId="5307E87C" w14:textId="77777777" w:rsidTr="000F7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01586A5D" w14:textId="77777777" w:rsidR="000F7EB1" w:rsidRPr="000F7EB1" w:rsidRDefault="000F7EB1" w:rsidP="000F7EB1">
            <w:pPr>
              <w:pStyle w:val="Tabletitle"/>
              <w:jc w:val="left"/>
              <w:rPr>
                <w:b/>
                <w:bCs/>
                <w:i w:val="0"/>
                <w:iCs w:val="0"/>
                <w:color w:val="auto"/>
                <w:sz w:val="22"/>
              </w:rPr>
            </w:pPr>
            <w:r w:rsidRPr="000F7EB1">
              <w:rPr>
                <w:b/>
                <w:bCs/>
                <w:i w:val="0"/>
                <w:iCs w:val="0"/>
                <w:color w:val="auto"/>
                <w:sz w:val="22"/>
              </w:rPr>
              <w:t>Medical assistance</w:t>
            </w:r>
          </w:p>
        </w:tc>
        <w:tc>
          <w:tcPr>
            <w:tcW w:w="4438" w:type="pct"/>
          </w:tcPr>
          <w:p w14:paraId="37F527E2" w14:textId="77777777" w:rsidR="000F7EB1" w:rsidRPr="000F7EB1" w:rsidRDefault="000F7EB1" w:rsidP="000F7EB1">
            <w:pPr>
              <w:pStyle w:val="Tabletext"/>
              <w:spacing w:after="120"/>
              <w:cnfStyle w:val="000000100000" w:firstRow="0" w:lastRow="0" w:firstColumn="0" w:lastColumn="0" w:oddVBand="0" w:evenVBand="0" w:oddHBand="1" w:evenHBand="0" w:firstRowFirstColumn="0" w:firstRowLastColumn="0" w:lastRowFirstColumn="0" w:lastRowLastColumn="0"/>
              <w:rPr>
                <w:color w:val="auto"/>
                <w:sz w:val="22"/>
              </w:rPr>
            </w:pPr>
            <w:r w:rsidRPr="000F7EB1">
              <w:rPr>
                <w:color w:val="auto"/>
                <w:sz w:val="22"/>
              </w:rPr>
              <w:t>Where survivors wish to seek medical assistance, the company can provide transportation and/or offer to cover immediate or long-term medical expenses, including for mental health services.</w:t>
            </w:r>
          </w:p>
        </w:tc>
      </w:tr>
    </w:tbl>
    <w:p w14:paraId="598E5300" w14:textId="77777777" w:rsidR="000F7EB1" w:rsidRDefault="000F7EB1" w:rsidP="00872236">
      <w:pPr>
        <w:spacing w:line="312" w:lineRule="auto"/>
        <w:rPr>
          <w:rFonts w:asciiTheme="minorHAnsi" w:hAnsiTheme="minorHAnsi"/>
        </w:rPr>
      </w:pPr>
    </w:p>
    <w:p w14:paraId="27423338" w14:textId="77777777" w:rsidR="000F7EB1" w:rsidRDefault="000F7EB1" w:rsidP="00872236">
      <w:pPr>
        <w:spacing w:line="312" w:lineRule="auto"/>
        <w:rPr>
          <w:rFonts w:asciiTheme="minorHAnsi" w:hAnsiTheme="minorHAnsi"/>
        </w:rPr>
      </w:pPr>
    </w:p>
    <w:p w14:paraId="66129230" w14:textId="055A20B4" w:rsidR="00EC7D49" w:rsidRPr="00EC7D49" w:rsidRDefault="00EC7D49" w:rsidP="00872236">
      <w:pPr>
        <w:pStyle w:val="Heading1-numbered"/>
        <w:numPr>
          <w:ilvl w:val="0"/>
          <w:numId w:val="0"/>
        </w:numPr>
        <w:ind w:left="360" w:hanging="360"/>
        <w:rPr>
          <w:rStyle w:val="NormalBold"/>
          <w:rFonts w:asciiTheme="majorHAnsi" w:hAnsiTheme="majorHAnsi"/>
        </w:rPr>
      </w:pPr>
      <w:r w:rsidRPr="00EC7D49">
        <w:rPr>
          <w:rStyle w:val="NormalBold"/>
          <w:rFonts w:asciiTheme="majorHAnsi" w:hAnsiTheme="majorHAnsi"/>
        </w:rPr>
        <w:t>Additional resources</w:t>
      </w:r>
      <w:bookmarkEnd w:id="0"/>
      <w:r w:rsidRPr="00EC7D49">
        <w:rPr>
          <w:rStyle w:val="NormalBold"/>
          <w:rFonts w:asciiTheme="majorHAnsi" w:hAnsiTheme="majorHAnsi"/>
        </w:rPr>
        <w:t xml:space="preserve"> </w:t>
      </w:r>
    </w:p>
    <w:p w14:paraId="551C1069" w14:textId="77777777" w:rsidR="00EC7D49" w:rsidRPr="00EC7D49" w:rsidRDefault="00EC7D49" w:rsidP="00EC7D49"/>
    <w:p w14:paraId="02639253" w14:textId="77777777" w:rsidR="00830D3A" w:rsidRDefault="00830D3A" w:rsidP="00830D3A">
      <w:r>
        <w:t xml:space="preserve">BII tools on managing GBVH </w:t>
      </w:r>
      <w:hyperlink r:id="rId13" w:history="1">
        <w:r w:rsidRPr="00AD580C">
          <w:rPr>
            <w:rStyle w:val="Hyperlink"/>
          </w:rPr>
          <w:t>https://toolkit.bii.co.uk/esg-topics/gender-based-violence-and-harassment/</w:t>
        </w:r>
      </w:hyperlink>
      <w:r>
        <w:t xml:space="preserve"> </w:t>
      </w:r>
    </w:p>
    <w:p w14:paraId="10399644" w14:textId="77777777" w:rsidR="00830D3A" w:rsidRPr="0055381D" w:rsidRDefault="00830D3A" w:rsidP="00830D3A"/>
    <w:p w14:paraId="40F1199F" w14:textId="77777777" w:rsidR="00830D3A" w:rsidRDefault="00830D3A" w:rsidP="00830D3A">
      <w:r w:rsidRPr="0055381D">
        <w:t xml:space="preserve">BII, European Bank for Reconstruction and Development and International Finance Corporation, </w:t>
      </w:r>
      <w:hyperlink r:id="rId14" w:history="1">
        <w:r w:rsidRPr="0055381D">
          <w:rPr>
            <w:rStyle w:val="Hyperlink"/>
            <w:i/>
            <w:iCs/>
          </w:rPr>
          <w:t>Addressing Gender-Based Violence and Harassment: Emerging Good Practice for the Private Sector</w:t>
        </w:r>
      </w:hyperlink>
      <w:r w:rsidRPr="0055381D">
        <w:t xml:space="preserve"> (2020)</w:t>
      </w:r>
    </w:p>
    <w:p w14:paraId="1061354A" w14:textId="77777777" w:rsidR="00830D3A" w:rsidRPr="0055381D" w:rsidRDefault="00830D3A" w:rsidP="00830D3A"/>
    <w:p w14:paraId="7C70CDB0" w14:textId="77777777" w:rsidR="00830D3A" w:rsidRPr="0055381D" w:rsidRDefault="00830D3A" w:rsidP="00830D3A">
      <w:r w:rsidRPr="0055381D">
        <w:t xml:space="preserve">IASC GBV Guidelines, </w:t>
      </w:r>
      <w:r w:rsidRPr="0055381D">
        <w:rPr>
          <w:i/>
          <w:iCs/>
        </w:rPr>
        <w:t>How to support survivors of gender-based violence when a GBV actor is not available in your area</w:t>
      </w:r>
      <w:r w:rsidRPr="0055381D">
        <w:t xml:space="preserve"> (pocket guide): </w:t>
      </w:r>
      <w:hyperlink r:id="rId15" w:history="1">
        <w:r w:rsidRPr="0055381D">
          <w:rPr>
            <w:rStyle w:val="Hyperlink"/>
          </w:rPr>
          <w:t>https://gbvguidelines.org/wp/wp-content/uploads/2018/03/GBV_PocketGuide021718.pdf</w:t>
        </w:r>
      </w:hyperlink>
      <w:r w:rsidRPr="0055381D">
        <w:t xml:space="preserve">    </w:t>
      </w:r>
    </w:p>
    <w:p w14:paraId="3743B933" w14:textId="77777777" w:rsidR="00DE1787" w:rsidRPr="00DE1787" w:rsidRDefault="00DE1787" w:rsidP="000D3B63">
      <w:pPr>
        <w:rPr>
          <w:rStyle w:val="Hyperlink"/>
          <w:rFonts w:asciiTheme="majorHAnsi" w:hAnsiTheme="majorHAnsi"/>
          <w:color w:val="auto"/>
          <w:sz w:val="22"/>
          <w:szCs w:val="22"/>
          <w:u w:val="none"/>
          <w:lang w:val="en-US"/>
        </w:rPr>
      </w:pPr>
    </w:p>
    <w:sectPr w:rsidR="00DE1787" w:rsidRPr="00DE1787" w:rsidSect="00EC7D49">
      <w:footerReference w:type="default" r:id="rId16"/>
      <w:headerReference w:type="first" r:id="rId17"/>
      <w:footerReference w:type="first" r:id="rId18"/>
      <w:pgSz w:w="11906" w:h="16838"/>
      <w:pgMar w:top="1276" w:right="907" w:bottom="1702" w:left="907" w:header="765" w:footer="2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7C79" w14:textId="77777777" w:rsidR="00CB1C29" w:rsidRDefault="00CB1C29">
      <w:pPr>
        <w:spacing w:after="384"/>
      </w:pPr>
      <w:r>
        <w:separator/>
      </w:r>
    </w:p>
  </w:endnote>
  <w:endnote w:type="continuationSeparator" w:id="0">
    <w:p w14:paraId="2BE65026" w14:textId="77777777" w:rsidR="00CB1C29" w:rsidRDefault="00CB1C29">
      <w:pPr>
        <w:spacing w:after="3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Unicode MS">
    <w:altName w:val="Yu Gothic"/>
    <w:panose1 w:val="020B06040202020202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BE8F" w14:textId="7FE1210B" w:rsidR="002B7EB1" w:rsidRPr="00C87F8A" w:rsidRDefault="00C87F8A" w:rsidP="00C87F8A">
    <w:pPr>
      <w:pStyle w:val="Footer"/>
      <w:spacing w:after="384"/>
    </w:pPr>
    <w:r>
      <w:rPr>
        <w:szCs w:val="20"/>
      </w:rPr>
      <w:br/>
      <w:t xml:space="preserve"> </w:t>
    </w:r>
    <w:r>
      <w:rPr>
        <w:szCs w:val="20"/>
      </w:rPr>
      <w:br/>
      <w:t xml:space="preserve"> </w:t>
    </w:r>
    <w:r>
      <w:rPr>
        <w:b/>
        <w:bCs/>
        <w:szCs w:val="20"/>
      </w:rPr>
      <w:t xml:space="preserve">        </w:t>
    </w:r>
    <w:r>
      <w:rPr>
        <w:b/>
        <w:bCs/>
        <w:szCs w:val="20"/>
      </w:rPr>
      <w:tab/>
    </w:r>
    <w:r>
      <w:rPr>
        <w:b/>
        <w:bCs/>
        <w:szCs w:val="20"/>
      </w:rPr>
      <w:tab/>
    </w:r>
    <w:r>
      <w:rPr>
        <w:b/>
        <w:bCs/>
        <w:szCs w:val="20"/>
      </w:rPr>
      <w:tab/>
      <w:t xml:space="preserve">          </w:t>
    </w:r>
    <w:r w:rsidRPr="002A5A21">
      <w:rPr>
        <w:szCs w:val="20"/>
      </w:rPr>
      <w:t xml:space="preserve">Page </w:t>
    </w:r>
    <w:r w:rsidRPr="002A5A21">
      <w:rPr>
        <w:b/>
        <w:bCs/>
        <w:szCs w:val="20"/>
      </w:rPr>
      <w:fldChar w:fldCharType="begin"/>
    </w:r>
    <w:r w:rsidRPr="002A5A21">
      <w:rPr>
        <w:b/>
        <w:bCs/>
        <w:szCs w:val="20"/>
      </w:rPr>
      <w:instrText xml:space="preserve"> PAGE  \* Arabic  \* MERGEFORMAT </w:instrText>
    </w:r>
    <w:r w:rsidRPr="002A5A21">
      <w:rPr>
        <w:b/>
        <w:bCs/>
        <w:szCs w:val="20"/>
      </w:rPr>
      <w:fldChar w:fldCharType="separate"/>
    </w:r>
    <w:r>
      <w:rPr>
        <w:b/>
        <w:bCs/>
        <w:szCs w:val="20"/>
      </w:rPr>
      <w:t>1</w:t>
    </w:r>
    <w:r w:rsidRPr="002A5A21">
      <w:rPr>
        <w:b/>
        <w:bCs/>
        <w:szCs w:val="20"/>
      </w:rPr>
      <w:fldChar w:fldCharType="end"/>
    </w:r>
    <w:r w:rsidRPr="002A5A21">
      <w:rPr>
        <w:szCs w:val="20"/>
      </w:rPr>
      <w:t xml:space="preserve"> of </w:t>
    </w:r>
    <w:r w:rsidRPr="002A5A21">
      <w:rPr>
        <w:b/>
        <w:bCs/>
        <w:szCs w:val="20"/>
      </w:rPr>
      <w:fldChar w:fldCharType="begin"/>
    </w:r>
    <w:r w:rsidRPr="002A5A21">
      <w:rPr>
        <w:b/>
        <w:bCs/>
        <w:szCs w:val="20"/>
      </w:rPr>
      <w:instrText xml:space="preserve"> NUMPAGES  \* Arabic  \* MERGEFORMAT </w:instrText>
    </w:r>
    <w:r w:rsidRPr="002A5A21">
      <w:rPr>
        <w:b/>
        <w:bCs/>
        <w:szCs w:val="20"/>
      </w:rPr>
      <w:fldChar w:fldCharType="separate"/>
    </w:r>
    <w:r>
      <w:rPr>
        <w:b/>
        <w:bCs/>
        <w:szCs w:val="20"/>
      </w:rPr>
      <w:t>2</w:t>
    </w:r>
    <w:r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AA64" w14:textId="25AE8D9D" w:rsidR="002A5A21" w:rsidRDefault="00C87F8A" w:rsidP="002A5A21">
    <w:pPr>
      <w:pStyle w:val="Footer"/>
      <w:spacing w:after="384"/>
    </w:pPr>
    <w:r>
      <w:rPr>
        <w:b/>
        <w:bCs/>
        <w:szCs w:val="20"/>
      </w:rPr>
      <w:tab/>
    </w:r>
    <w:r>
      <w:rPr>
        <w:b/>
        <w:bCs/>
        <w:szCs w:val="20"/>
      </w:rPr>
      <w:tab/>
    </w:r>
    <w:r>
      <w:rPr>
        <w:b/>
        <w:bCs/>
        <w:szCs w:val="20"/>
      </w:rPr>
      <w:tab/>
      <w:t xml:space="preserve">          </w:t>
    </w:r>
    <w:r w:rsidRPr="002A5A21">
      <w:rPr>
        <w:szCs w:val="20"/>
      </w:rPr>
      <w:t xml:space="preserve">Page </w:t>
    </w:r>
    <w:r w:rsidRPr="002A5A21">
      <w:rPr>
        <w:b/>
        <w:bCs/>
        <w:szCs w:val="20"/>
      </w:rPr>
      <w:fldChar w:fldCharType="begin"/>
    </w:r>
    <w:r w:rsidRPr="002A5A21">
      <w:rPr>
        <w:b/>
        <w:bCs/>
        <w:szCs w:val="20"/>
      </w:rPr>
      <w:instrText xml:space="preserve"> PAGE  \* Arabic  \* MERGEFORMAT </w:instrText>
    </w:r>
    <w:r w:rsidRPr="002A5A21">
      <w:rPr>
        <w:b/>
        <w:bCs/>
        <w:szCs w:val="20"/>
      </w:rPr>
      <w:fldChar w:fldCharType="separate"/>
    </w:r>
    <w:r>
      <w:rPr>
        <w:b/>
        <w:bCs/>
        <w:szCs w:val="20"/>
      </w:rPr>
      <w:t>1</w:t>
    </w:r>
    <w:r w:rsidRPr="002A5A21">
      <w:rPr>
        <w:b/>
        <w:bCs/>
        <w:szCs w:val="20"/>
      </w:rPr>
      <w:fldChar w:fldCharType="end"/>
    </w:r>
    <w:r w:rsidRPr="002A5A21">
      <w:rPr>
        <w:szCs w:val="20"/>
      </w:rPr>
      <w:t xml:space="preserve"> of </w:t>
    </w:r>
    <w:r w:rsidRPr="002A5A21">
      <w:rPr>
        <w:b/>
        <w:bCs/>
        <w:szCs w:val="20"/>
      </w:rPr>
      <w:fldChar w:fldCharType="begin"/>
    </w:r>
    <w:r w:rsidRPr="002A5A21">
      <w:rPr>
        <w:b/>
        <w:bCs/>
        <w:szCs w:val="20"/>
      </w:rPr>
      <w:instrText xml:space="preserve"> NUMPAGES  \* Arabic  \* MERGEFORMAT </w:instrText>
    </w:r>
    <w:r w:rsidRPr="002A5A21">
      <w:rPr>
        <w:b/>
        <w:bCs/>
        <w:szCs w:val="20"/>
      </w:rPr>
      <w:fldChar w:fldCharType="separate"/>
    </w:r>
    <w:r>
      <w:rPr>
        <w:b/>
        <w:bCs/>
        <w:szCs w:val="20"/>
      </w:rPr>
      <w:t>2</w:t>
    </w:r>
    <w:r w:rsidRPr="002A5A21">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0C4B" w14:textId="77777777" w:rsidR="00CB1C29" w:rsidRDefault="00CB1C29">
      <w:pPr>
        <w:spacing w:after="384"/>
      </w:pPr>
      <w:r>
        <w:rPr>
          <w:color w:val="000000"/>
        </w:rPr>
        <w:separator/>
      </w:r>
    </w:p>
  </w:footnote>
  <w:footnote w:type="continuationSeparator" w:id="0">
    <w:p w14:paraId="44EDD348" w14:textId="77777777" w:rsidR="00CB1C29" w:rsidRDefault="00CB1C29">
      <w:pPr>
        <w:spacing w:after="38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56B6" w14:textId="01811E86" w:rsidR="002B7EB1" w:rsidRDefault="009768E9" w:rsidP="00D213DB">
    <w:pPr>
      <w:spacing w:after="384"/>
      <w:ind w:left="-142"/>
    </w:pPr>
    <w:r>
      <w:rPr>
        <w:noProof/>
        <w:szCs w:val="20"/>
      </w:rPr>
      <w:drawing>
        <wp:anchor distT="0" distB="0" distL="114300" distR="114300" simplePos="0" relativeHeight="251663360" behindDoc="0" locked="0" layoutInCell="1" allowOverlap="1" wp14:anchorId="517CB8A5" wp14:editId="00523C21">
          <wp:simplePos x="0" y="0"/>
          <wp:positionH relativeFrom="column">
            <wp:posOffset>-114300</wp:posOffset>
          </wp:positionH>
          <wp:positionV relativeFrom="page">
            <wp:posOffset>249555</wp:posOffset>
          </wp:positionV>
          <wp:extent cx="2179955" cy="737235"/>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549CC" w14:textId="77777777" w:rsidR="002B7EB1" w:rsidRDefault="002B7EB1">
    <w:pPr>
      <w:spacing w:after="3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74FF9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BD70F5"/>
    <w:multiLevelType w:val="multilevel"/>
    <w:tmpl w:val="0809001F"/>
    <w:numStyleLink w:val="11numberbullet"/>
  </w:abstractNum>
  <w:abstractNum w:abstractNumId="4"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50C73"/>
    <w:multiLevelType w:val="hybridMultilevel"/>
    <w:tmpl w:val="A126D528"/>
    <w:lvl w:ilvl="0" w:tplc="D43A4622">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EA2F2E"/>
    <w:multiLevelType w:val="hybridMultilevel"/>
    <w:tmpl w:val="8D64D068"/>
    <w:lvl w:ilvl="0" w:tplc="FCFCFF52">
      <w:start w:val="11"/>
      <w:numFmt w:val="bullet"/>
      <w:lvlText w:val="-"/>
      <w:lvlJc w:val="left"/>
      <w:pPr>
        <w:ind w:left="720" w:hanging="360"/>
      </w:pPr>
      <w:rPr>
        <w:rFonts w:ascii="Cambria" w:eastAsia="Georg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3E00B6"/>
    <w:multiLevelType w:val="multilevel"/>
    <w:tmpl w:val="0809001F"/>
    <w:numStyleLink w:val="11numberbullet"/>
  </w:abstractNum>
  <w:abstractNum w:abstractNumId="12" w15:restartNumberingAfterBreak="0">
    <w:nsid w:val="26DF6C16"/>
    <w:multiLevelType w:val="hybridMultilevel"/>
    <w:tmpl w:val="136C7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215F8B"/>
    <w:multiLevelType w:val="hybridMultilevel"/>
    <w:tmpl w:val="E5D85368"/>
    <w:lvl w:ilvl="0" w:tplc="2D6E4C5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4" w15:restartNumberingAfterBreak="0">
    <w:nsid w:val="27DA207F"/>
    <w:multiLevelType w:val="hybridMultilevel"/>
    <w:tmpl w:val="BC5A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62817"/>
    <w:multiLevelType w:val="multilevel"/>
    <w:tmpl w:val="CBF03E8E"/>
    <w:styleLink w:val="Ergon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A9D5B38"/>
    <w:multiLevelType w:val="hybridMultilevel"/>
    <w:tmpl w:val="3A287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A642F0"/>
    <w:multiLevelType w:val="multilevel"/>
    <w:tmpl w:val="0809001F"/>
    <w:numStyleLink w:val="11numberbullet"/>
  </w:abstractNum>
  <w:abstractNum w:abstractNumId="21" w15:restartNumberingAfterBreak="0">
    <w:nsid w:val="3D291027"/>
    <w:multiLevelType w:val="multilevel"/>
    <w:tmpl w:val="0809001F"/>
    <w:numStyleLink w:val="11numberbullet"/>
  </w:abstractNum>
  <w:abstractNum w:abstractNumId="22" w15:restartNumberingAfterBreak="0">
    <w:nsid w:val="3E726C5C"/>
    <w:multiLevelType w:val="hybridMultilevel"/>
    <w:tmpl w:val="8F32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F4EBB"/>
    <w:multiLevelType w:val="hybridMultilevel"/>
    <w:tmpl w:val="3A90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1786F"/>
    <w:multiLevelType w:val="hybridMultilevel"/>
    <w:tmpl w:val="85B86400"/>
    <w:lvl w:ilvl="0" w:tplc="D034E38C">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775943"/>
    <w:multiLevelType w:val="hybridMultilevel"/>
    <w:tmpl w:val="56B6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E81DAA"/>
    <w:multiLevelType w:val="hybridMultilevel"/>
    <w:tmpl w:val="819801E4"/>
    <w:lvl w:ilvl="0" w:tplc="4FB435E0">
      <w:numFmt w:val="bullet"/>
      <w:lvlText w:val="•"/>
      <w:lvlJc w:val="left"/>
      <w:pPr>
        <w:ind w:left="720" w:hanging="720"/>
      </w:pPr>
      <w:rPr>
        <w:rFonts w:ascii="Cambria" w:eastAsia="Georg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24EBF"/>
    <w:multiLevelType w:val="hybridMultilevel"/>
    <w:tmpl w:val="863E7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780874"/>
    <w:multiLevelType w:val="hybridMultilevel"/>
    <w:tmpl w:val="4E0C8864"/>
    <w:lvl w:ilvl="0" w:tplc="4FB435E0">
      <w:numFmt w:val="bullet"/>
      <w:lvlText w:val="•"/>
      <w:lvlJc w:val="left"/>
      <w:pPr>
        <w:ind w:left="720" w:hanging="720"/>
      </w:pPr>
      <w:rPr>
        <w:rFonts w:ascii="Cambria" w:eastAsia="Georgia"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86519F4"/>
    <w:multiLevelType w:val="hybridMultilevel"/>
    <w:tmpl w:val="DD42B9B0"/>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551193"/>
    <w:multiLevelType w:val="multilevel"/>
    <w:tmpl w:val="CBF03E8E"/>
    <w:numStyleLink w:val="ErgonList"/>
  </w:abstractNum>
  <w:abstractNum w:abstractNumId="38" w15:restartNumberingAfterBreak="0">
    <w:nsid w:val="7D56332C"/>
    <w:multiLevelType w:val="multilevel"/>
    <w:tmpl w:val="0809001F"/>
    <w:styleLink w:val="11numberbullet"/>
    <w:lvl w:ilvl="0">
      <w:start w:val="1"/>
      <w:numFmt w:val="decimal"/>
      <w:pStyle w:val="Heading-numbered"/>
      <w:lvlText w:val="%1."/>
      <w:lvlJc w:val="left"/>
      <w:pPr>
        <w:ind w:left="360" w:hanging="360"/>
      </w:pPr>
      <w:rPr>
        <w:rFonts w:ascii="Cambria" w:hAnsi="Cambria"/>
      </w:rPr>
    </w:lvl>
    <w:lvl w:ilvl="1">
      <w:start w:val="1"/>
      <w:numFmt w:val="decimal"/>
      <w:pStyle w:val="Heading2-numbered"/>
      <w:lvlText w:val="%1.%2."/>
      <w:lvlJc w:val="left"/>
      <w:pPr>
        <w:ind w:left="792" w:hanging="432"/>
      </w:pPr>
    </w:lvl>
    <w:lvl w:ilvl="2">
      <w:start w:val="1"/>
      <w:numFmt w:val="decimal"/>
      <w:pStyle w:val="Heading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0142695">
    <w:abstractNumId w:val="32"/>
  </w:num>
  <w:num w:numId="2" w16cid:durableId="1587155347">
    <w:abstractNumId w:val="34"/>
  </w:num>
  <w:num w:numId="3" w16cid:durableId="764809316">
    <w:abstractNumId w:val="9"/>
  </w:num>
  <w:num w:numId="4" w16cid:durableId="1478455050">
    <w:abstractNumId w:val="18"/>
  </w:num>
  <w:num w:numId="5" w16cid:durableId="1834224151">
    <w:abstractNumId w:val="36"/>
  </w:num>
  <w:num w:numId="6" w16cid:durableId="1936479166">
    <w:abstractNumId w:val="17"/>
  </w:num>
  <w:num w:numId="7" w16cid:durableId="1427926139">
    <w:abstractNumId w:val="10"/>
  </w:num>
  <w:num w:numId="8" w16cid:durableId="1684475048">
    <w:abstractNumId w:val="4"/>
  </w:num>
  <w:num w:numId="9" w16cid:durableId="1422263272">
    <w:abstractNumId w:val="26"/>
  </w:num>
  <w:num w:numId="10" w16cid:durableId="371274298">
    <w:abstractNumId w:val="16"/>
  </w:num>
  <w:num w:numId="11" w16cid:durableId="1926960655">
    <w:abstractNumId w:val="33"/>
  </w:num>
  <w:num w:numId="12" w16cid:durableId="156505688">
    <w:abstractNumId w:val="27"/>
  </w:num>
  <w:num w:numId="13" w16cid:durableId="518590946">
    <w:abstractNumId w:val="8"/>
  </w:num>
  <w:num w:numId="14" w16cid:durableId="1676151716">
    <w:abstractNumId w:val="2"/>
  </w:num>
  <w:num w:numId="15" w16cid:durableId="630865438">
    <w:abstractNumId w:val="7"/>
  </w:num>
  <w:num w:numId="16" w16cid:durableId="815226817">
    <w:abstractNumId w:val="1"/>
  </w:num>
  <w:num w:numId="17" w16cid:durableId="510682186">
    <w:abstractNumId w:val="0"/>
  </w:num>
  <w:num w:numId="18" w16cid:durableId="687220508">
    <w:abstractNumId w:val="24"/>
  </w:num>
  <w:num w:numId="19" w16cid:durableId="798717772">
    <w:abstractNumId w:val="13"/>
  </w:num>
  <w:num w:numId="20" w16cid:durableId="1569731427">
    <w:abstractNumId w:val="38"/>
  </w:num>
  <w:num w:numId="21" w16cid:durableId="54936975">
    <w:abstractNumId w:val="20"/>
  </w:num>
  <w:num w:numId="22" w16cid:durableId="1626619244">
    <w:abstractNumId w:val="31"/>
  </w:num>
  <w:num w:numId="23" w16cid:durableId="1469205249">
    <w:abstractNumId w:val="3"/>
  </w:num>
  <w:num w:numId="24" w16cid:durableId="1140655950">
    <w:abstractNumId w:val="11"/>
  </w:num>
  <w:num w:numId="25" w16cid:durableId="1809778715">
    <w:abstractNumId w:val="21"/>
  </w:num>
  <w:num w:numId="26" w16cid:durableId="178743750">
    <w:abstractNumId w:val="25"/>
  </w:num>
  <w:num w:numId="27" w16cid:durableId="1457527861">
    <w:abstractNumId w:val="6"/>
  </w:num>
  <w:num w:numId="28" w16cid:durableId="1892110869">
    <w:abstractNumId w:val="21"/>
  </w:num>
  <w:num w:numId="29" w16cid:durableId="226571021">
    <w:abstractNumId w:val="22"/>
  </w:num>
  <w:num w:numId="30" w16cid:durableId="1815676314">
    <w:abstractNumId w:val="30"/>
  </w:num>
  <w:num w:numId="31" w16cid:durableId="1434210157">
    <w:abstractNumId w:val="21"/>
  </w:num>
  <w:num w:numId="32" w16cid:durableId="1201744782">
    <w:abstractNumId w:val="21"/>
  </w:num>
  <w:num w:numId="33" w16cid:durableId="1239945357">
    <w:abstractNumId w:val="21"/>
  </w:num>
  <w:num w:numId="34" w16cid:durableId="1723674870">
    <w:abstractNumId w:val="21"/>
  </w:num>
  <w:num w:numId="35" w16cid:durableId="522288331">
    <w:abstractNumId w:val="28"/>
  </w:num>
  <w:num w:numId="36" w16cid:durableId="825976157">
    <w:abstractNumId w:val="2"/>
  </w:num>
  <w:num w:numId="37" w16cid:durableId="883254855">
    <w:abstractNumId w:val="2"/>
  </w:num>
  <w:num w:numId="38" w16cid:durableId="2084064147">
    <w:abstractNumId w:val="2"/>
  </w:num>
  <w:num w:numId="39" w16cid:durableId="710105620">
    <w:abstractNumId w:val="2"/>
  </w:num>
  <w:num w:numId="40" w16cid:durableId="832574898">
    <w:abstractNumId w:val="14"/>
  </w:num>
  <w:num w:numId="41" w16cid:durableId="1411463418">
    <w:abstractNumId w:val="2"/>
  </w:num>
  <w:num w:numId="42" w16cid:durableId="396394432">
    <w:abstractNumId w:val="15"/>
  </w:num>
  <w:num w:numId="43" w16cid:durableId="1109273735">
    <w:abstractNumId w:val="37"/>
  </w:num>
  <w:num w:numId="44" w16cid:durableId="567303090">
    <w:abstractNumId w:val="2"/>
  </w:num>
  <w:num w:numId="45" w16cid:durableId="44792839">
    <w:abstractNumId w:val="5"/>
  </w:num>
  <w:num w:numId="46" w16cid:durableId="1989626102">
    <w:abstractNumId w:val="35"/>
  </w:num>
  <w:num w:numId="47" w16cid:durableId="2119064297">
    <w:abstractNumId w:val="23"/>
  </w:num>
  <w:num w:numId="48" w16cid:durableId="1688600707">
    <w:abstractNumId w:val="29"/>
  </w:num>
  <w:num w:numId="49" w16cid:durableId="1112087297">
    <w:abstractNumId w:val="12"/>
  </w:num>
  <w:num w:numId="50" w16cid:durableId="81290917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E4"/>
    <w:rsid w:val="00015B90"/>
    <w:rsid w:val="0003209E"/>
    <w:rsid w:val="00064D6D"/>
    <w:rsid w:val="0007190E"/>
    <w:rsid w:val="0008424D"/>
    <w:rsid w:val="000C2042"/>
    <w:rsid w:val="000D3B63"/>
    <w:rsid w:val="000E0B12"/>
    <w:rsid w:val="000F5289"/>
    <w:rsid w:val="000F7255"/>
    <w:rsid w:val="000F7EB1"/>
    <w:rsid w:val="0013311F"/>
    <w:rsid w:val="00154471"/>
    <w:rsid w:val="001711CE"/>
    <w:rsid w:val="00177922"/>
    <w:rsid w:val="00191F90"/>
    <w:rsid w:val="001B31B4"/>
    <w:rsid w:val="001B773B"/>
    <w:rsid w:val="001E0F06"/>
    <w:rsid w:val="001E789C"/>
    <w:rsid w:val="001F741A"/>
    <w:rsid w:val="00204A13"/>
    <w:rsid w:val="002365EF"/>
    <w:rsid w:val="0025190C"/>
    <w:rsid w:val="002609E0"/>
    <w:rsid w:val="00277146"/>
    <w:rsid w:val="0029209E"/>
    <w:rsid w:val="002A5A21"/>
    <w:rsid w:val="002B7EB1"/>
    <w:rsid w:val="002C0ECC"/>
    <w:rsid w:val="002C6546"/>
    <w:rsid w:val="002D131F"/>
    <w:rsid w:val="002F1BA0"/>
    <w:rsid w:val="003042BE"/>
    <w:rsid w:val="00367FF9"/>
    <w:rsid w:val="003723FE"/>
    <w:rsid w:val="00383845"/>
    <w:rsid w:val="00385BD5"/>
    <w:rsid w:val="003B40ED"/>
    <w:rsid w:val="003B6E87"/>
    <w:rsid w:val="003E425D"/>
    <w:rsid w:val="003E43D5"/>
    <w:rsid w:val="00423E4A"/>
    <w:rsid w:val="004B0D4A"/>
    <w:rsid w:val="004E63D9"/>
    <w:rsid w:val="004F4A5E"/>
    <w:rsid w:val="00546418"/>
    <w:rsid w:val="005522F9"/>
    <w:rsid w:val="0055350E"/>
    <w:rsid w:val="0058458F"/>
    <w:rsid w:val="005B1FA3"/>
    <w:rsid w:val="00616934"/>
    <w:rsid w:val="00692A99"/>
    <w:rsid w:val="006C41B5"/>
    <w:rsid w:val="006F7F78"/>
    <w:rsid w:val="00700945"/>
    <w:rsid w:val="00704594"/>
    <w:rsid w:val="00723E5C"/>
    <w:rsid w:val="00746102"/>
    <w:rsid w:val="00767193"/>
    <w:rsid w:val="00777F6C"/>
    <w:rsid w:val="007A17D7"/>
    <w:rsid w:val="007C7F1F"/>
    <w:rsid w:val="007E0B3E"/>
    <w:rsid w:val="007E1F42"/>
    <w:rsid w:val="00805188"/>
    <w:rsid w:val="00811720"/>
    <w:rsid w:val="00820AB7"/>
    <w:rsid w:val="00830D3A"/>
    <w:rsid w:val="00831B02"/>
    <w:rsid w:val="0083754E"/>
    <w:rsid w:val="00872236"/>
    <w:rsid w:val="00893DD3"/>
    <w:rsid w:val="008A3501"/>
    <w:rsid w:val="00907275"/>
    <w:rsid w:val="00923E8E"/>
    <w:rsid w:val="0095118B"/>
    <w:rsid w:val="00953647"/>
    <w:rsid w:val="009560B2"/>
    <w:rsid w:val="009768E9"/>
    <w:rsid w:val="00984140"/>
    <w:rsid w:val="009A7F40"/>
    <w:rsid w:val="009B0230"/>
    <w:rsid w:val="009B7204"/>
    <w:rsid w:val="009C6FC4"/>
    <w:rsid w:val="00A25C0A"/>
    <w:rsid w:val="00A60E16"/>
    <w:rsid w:val="00A679DA"/>
    <w:rsid w:val="00A82B01"/>
    <w:rsid w:val="00A978CE"/>
    <w:rsid w:val="00AA7109"/>
    <w:rsid w:val="00AB7ACA"/>
    <w:rsid w:val="00AC0E6D"/>
    <w:rsid w:val="00AC344E"/>
    <w:rsid w:val="00AC4102"/>
    <w:rsid w:val="00AD6717"/>
    <w:rsid w:val="00AE3317"/>
    <w:rsid w:val="00AE4BB4"/>
    <w:rsid w:val="00B137E4"/>
    <w:rsid w:val="00B3566A"/>
    <w:rsid w:val="00B37D01"/>
    <w:rsid w:val="00B42009"/>
    <w:rsid w:val="00B672C1"/>
    <w:rsid w:val="00B73470"/>
    <w:rsid w:val="00B80D7D"/>
    <w:rsid w:val="00BA56E8"/>
    <w:rsid w:val="00BA6475"/>
    <w:rsid w:val="00BC52B9"/>
    <w:rsid w:val="00BD66C2"/>
    <w:rsid w:val="00BE78B5"/>
    <w:rsid w:val="00C06155"/>
    <w:rsid w:val="00C318D2"/>
    <w:rsid w:val="00C577FD"/>
    <w:rsid w:val="00C64348"/>
    <w:rsid w:val="00C70BCF"/>
    <w:rsid w:val="00C87F8A"/>
    <w:rsid w:val="00C942F9"/>
    <w:rsid w:val="00CB1C29"/>
    <w:rsid w:val="00CF1535"/>
    <w:rsid w:val="00CF1AE3"/>
    <w:rsid w:val="00D04296"/>
    <w:rsid w:val="00D16EC9"/>
    <w:rsid w:val="00D213DB"/>
    <w:rsid w:val="00D30F2B"/>
    <w:rsid w:val="00D3451A"/>
    <w:rsid w:val="00D36D31"/>
    <w:rsid w:val="00D43011"/>
    <w:rsid w:val="00D91FEA"/>
    <w:rsid w:val="00D9740D"/>
    <w:rsid w:val="00DA5708"/>
    <w:rsid w:val="00DC43C1"/>
    <w:rsid w:val="00DE1787"/>
    <w:rsid w:val="00DE3808"/>
    <w:rsid w:val="00E256F4"/>
    <w:rsid w:val="00E40221"/>
    <w:rsid w:val="00E442DB"/>
    <w:rsid w:val="00E62A1D"/>
    <w:rsid w:val="00E63432"/>
    <w:rsid w:val="00E71833"/>
    <w:rsid w:val="00E80CF0"/>
    <w:rsid w:val="00EB0C09"/>
    <w:rsid w:val="00EB67ED"/>
    <w:rsid w:val="00EC7D49"/>
    <w:rsid w:val="00ED54BA"/>
    <w:rsid w:val="00ED72C6"/>
    <w:rsid w:val="00F12CA0"/>
    <w:rsid w:val="00F36487"/>
    <w:rsid w:val="00F57CFD"/>
    <w:rsid w:val="00F8793C"/>
    <w:rsid w:val="00F92FAE"/>
    <w:rsid w:val="00F9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E8B3"/>
  <w15:docId w15:val="{8484050A-CEB6-4FF5-A8CA-81CEAB83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08"/>
    <w:rPr>
      <w:rFonts w:ascii="Cambria" w:hAnsi="Cambria"/>
    </w:rPr>
  </w:style>
  <w:style w:type="paragraph" w:styleId="Heading1">
    <w:name w:val="heading 1"/>
    <w:basedOn w:val="Normal"/>
    <w:next w:val="Normal"/>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qFormat/>
    <w:rsid w:val="00CF1AE3"/>
    <w:pPr>
      <w:numPr>
        <w:numId w:val="17"/>
      </w:numPr>
      <w:contextualSpacing/>
    </w:pPr>
  </w:style>
  <w:style w:type="paragraph" w:customStyle="1" w:styleId="Numberlistlevel1">
    <w:name w:val="Number list level 1"/>
    <w:basedOn w:val="ListBullet2"/>
    <w:qFormat/>
    <w:rsid w:val="0029209E"/>
    <w:pPr>
      <w:numPr>
        <w:numId w:val="18"/>
      </w:numPr>
      <w:spacing w:line="312" w:lineRule="auto"/>
      <w:ind w:left="426" w:hanging="426"/>
    </w:pPr>
    <w:rPr>
      <w:rFonts w:asciiTheme="minorHAnsi" w:hAnsiTheme="minorHAnsi"/>
    </w:r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qFormat/>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rsid w:val="00A978CE"/>
    <w:rPr>
      <w:rFonts w:ascii="Cambria" w:hAnsi="Cambria"/>
      <w:position w:val="0"/>
      <w:sz w:val="20"/>
      <w:vertAlign w:val="superscript"/>
    </w:rPr>
  </w:style>
  <w:style w:type="paragraph" w:styleId="Title">
    <w:name w:val="Title"/>
    <w:basedOn w:val="Normal"/>
    <w:next w:val="NoSpacing"/>
    <w:link w:val="TitleChar"/>
    <w:uiPriority w:val="10"/>
    <w:qFormat/>
    <w:rsid w:val="009A7F40"/>
    <w:pPr>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9A7F40"/>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E40221"/>
    <w:pPr>
      <w:numPr>
        <w:ilvl w:val="1"/>
      </w:numPr>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E40221"/>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nhideWhenUsed/>
    <w:rsid w:val="00CF1AE3"/>
    <w:pPr>
      <w:numPr>
        <w:numId w:val="14"/>
      </w:numPr>
      <w:contextualSpacing/>
    </w:pPr>
  </w:style>
  <w:style w:type="paragraph" w:customStyle="1" w:styleId="Bulletlevel1">
    <w:name w:val="Bullet level 1"/>
    <w:basedOn w:val="ListBullet"/>
    <w:qFormat/>
    <w:rsid w:val="0029209E"/>
    <w:pPr>
      <w:spacing w:line="312" w:lineRule="auto"/>
    </w:pPr>
    <w:rPr>
      <w:rFonts w:asciiTheme="minorHAnsi" w:hAnsiTheme="minorHAnsi"/>
    </w:r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29209E"/>
    <w:pPr>
      <w:numPr>
        <w:numId w:val="19"/>
      </w:numPr>
      <w:spacing w:after="160" w:line="312" w:lineRule="auto"/>
      <w:ind w:left="993" w:hanging="426"/>
    </w:pPr>
    <w:rPr>
      <w:rFonts w:asciiTheme="minorHAnsi" w:hAnsiTheme="minorHAnsi"/>
    </w:r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29209E"/>
    <w:rPr>
      <w:rFonts w:asciiTheme="minorHAnsi" w:hAnsiTheme="minorHAnsi"/>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Documenttitle">
    <w:name w:val="Document title"/>
    <w:rsid w:val="00777F6C"/>
    <w:pPr>
      <w:suppressAutoHyphens/>
      <w:spacing w:line="720" w:lineRule="atLeast"/>
    </w:pPr>
    <w:rPr>
      <w:sz w:val="60"/>
    </w:rPr>
  </w:style>
  <w:style w:type="paragraph" w:styleId="TOC2">
    <w:name w:val="toc 2"/>
    <w:basedOn w:val="Normal"/>
    <w:next w:val="Normal"/>
    <w:autoRedefine/>
    <w:uiPriority w:val="39"/>
    <w:rsid w:val="00831B02"/>
    <w:pPr>
      <w:tabs>
        <w:tab w:val="left" w:pos="1134"/>
        <w:tab w:val="left" w:pos="1701"/>
        <w:tab w:val="right" w:pos="10093"/>
      </w:tabs>
      <w:suppressAutoHyphens/>
      <w:spacing w:after="113" w:line="240" w:lineRule="atLeast"/>
      <w:ind w:left="567"/>
    </w:pPr>
    <w:rPr>
      <w:rFonts w:asciiTheme="minorHAnsi" w:hAnsiTheme="minorHAnsi"/>
      <w:b/>
      <w:bCs/>
      <w:noProof/>
      <w:color w:val="EF7D00" w:themeColor="background1"/>
      <w:sz w:val="20"/>
    </w:rPr>
  </w:style>
  <w:style w:type="paragraph" w:styleId="TOC1">
    <w:name w:val="toc 1"/>
    <w:basedOn w:val="Normal"/>
    <w:next w:val="Normal"/>
    <w:link w:val="TOC1Char"/>
    <w:autoRedefine/>
    <w:uiPriority w:val="39"/>
    <w:rsid w:val="00831B02"/>
    <w:pPr>
      <w:tabs>
        <w:tab w:val="right" w:pos="10093"/>
      </w:tabs>
      <w:suppressAutoHyphens/>
      <w:spacing w:after="113" w:line="312" w:lineRule="auto"/>
      <w:ind w:left="454" w:right="1162" w:hanging="454"/>
    </w:pPr>
    <w:rPr>
      <w:rFonts w:asciiTheme="minorHAnsi" w:hAnsiTheme="minorHAnsi"/>
      <w:b/>
      <w:bCs/>
      <w:noProof/>
      <w:sz w:val="20"/>
    </w:rPr>
  </w:style>
  <w:style w:type="paragraph" w:styleId="TOC3">
    <w:name w:val="toc 3"/>
    <w:basedOn w:val="Normal"/>
    <w:next w:val="Normal"/>
    <w:autoRedefine/>
    <w:uiPriority w:val="39"/>
    <w:rsid w:val="00831B02"/>
    <w:pPr>
      <w:tabs>
        <w:tab w:val="left" w:pos="1134"/>
        <w:tab w:val="left" w:pos="1701"/>
        <w:tab w:val="right" w:pos="10093"/>
      </w:tabs>
      <w:suppressAutoHyphens/>
      <w:spacing w:after="113" w:line="260" w:lineRule="atLeast"/>
      <w:ind w:left="1134"/>
    </w:pPr>
    <w:rPr>
      <w:rFonts w:asciiTheme="minorHAnsi" w:hAnsiTheme="minorHAnsi"/>
      <w:b/>
      <w:bCs/>
      <w:noProof/>
      <w:color w:val="A4B2A5" w:themeColor="text2"/>
      <w:sz w:val="20"/>
    </w:rPr>
  </w:style>
  <w:style w:type="character" w:styleId="Hyperlink">
    <w:name w:val="Hyperlink"/>
    <w:basedOn w:val="DefaultParagraphFont"/>
    <w:uiPriority w:val="99"/>
    <w:rsid w:val="00777F6C"/>
    <w:rPr>
      <w:color w:val="B164A5"/>
      <w:u w:val="single"/>
    </w:rPr>
  </w:style>
  <w:style w:type="paragraph" w:styleId="TOCHeading">
    <w:name w:val="TOC Heading"/>
    <w:basedOn w:val="Normal"/>
    <w:next w:val="Normal"/>
    <w:uiPriority w:val="39"/>
    <w:rsid w:val="00777F6C"/>
    <w:pPr>
      <w:suppressAutoHyphens/>
      <w:spacing w:line="290" w:lineRule="atLeast"/>
    </w:pPr>
    <w:rPr>
      <w:rFonts w:ascii="Georgia" w:hAnsi="Georgia"/>
      <w:b/>
      <w:color w:val="758380"/>
    </w:rPr>
  </w:style>
  <w:style w:type="paragraph" w:customStyle="1" w:styleId="Numberedheading">
    <w:name w:val="Numbered heading"/>
    <w:basedOn w:val="TOC1"/>
    <w:link w:val="NumberedheadingChar"/>
    <w:rsid w:val="00893DD3"/>
  </w:style>
  <w:style w:type="paragraph" w:customStyle="1" w:styleId="Heading-numbered">
    <w:name w:val="Heading - numbered"/>
    <w:basedOn w:val="Numberedheading"/>
    <w:link w:val="Heading-numberedChar"/>
    <w:rsid w:val="00893DD3"/>
    <w:pPr>
      <w:numPr>
        <w:numId w:val="25"/>
      </w:numPr>
    </w:pPr>
    <w:rPr>
      <w:sz w:val="24"/>
    </w:rPr>
  </w:style>
  <w:style w:type="character" w:customStyle="1" w:styleId="TOC1Char">
    <w:name w:val="TOC 1 Char"/>
    <w:basedOn w:val="DefaultParagraphFont"/>
    <w:link w:val="TOC1"/>
    <w:uiPriority w:val="39"/>
    <w:rsid w:val="00831B02"/>
    <w:rPr>
      <w:rFonts w:asciiTheme="minorHAnsi" w:hAnsiTheme="minorHAnsi"/>
      <w:b/>
      <w:bCs/>
      <w:noProof/>
      <w:sz w:val="20"/>
    </w:rPr>
  </w:style>
  <w:style w:type="character" w:customStyle="1" w:styleId="NumberedheadingChar">
    <w:name w:val="Numbered heading Char"/>
    <w:basedOn w:val="TOC1Char"/>
    <w:link w:val="Numberedheading"/>
    <w:rsid w:val="00893DD3"/>
    <w:rPr>
      <w:rFonts w:asciiTheme="minorHAnsi" w:hAnsiTheme="minorHAnsi"/>
      <w:b/>
      <w:bCs/>
      <w:noProof/>
      <w:sz w:val="20"/>
    </w:rPr>
  </w:style>
  <w:style w:type="paragraph" w:customStyle="1" w:styleId="Heading1-numbered">
    <w:name w:val="Heading 1 - numbered"/>
    <w:basedOn w:val="Heading-numbered"/>
    <w:link w:val="Heading1-numberedChar"/>
    <w:qFormat/>
    <w:rsid w:val="00F93446"/>
  </w:style>
  <w:style w:type="character" w:customStyle="1" w:styleId="Heading-numberedChar">
    <w:name w:val="Heading - numbered Char"/>
    <w:basedOn w:val="NumberedheadingChar"/>
    <w:link w:val="Heading-numbered"/>
    <w:rsid w:val="00893DD3"/>
    <w:rPr>
      <w:rFonts w:asciiTheme="minorHAnsi" w:hAnsiTheme="minorHAnsi"/>
      <w:b/>
      <w:bCs/>
      <w:noProof/>
      <w:sz w:val="20"/>
    </w:rPr>
  </w:style>
  <w:style w:type="paragraph" w:customStyle="1" w:styleId="Heading2-numbered">
    <w:name w:val="Heading 2 - numbered"/>
    <w:basedOn w:val="Heading-numbered"/>
    <w:link w:val="Heading2-numberedChar"/>
    <w:qFormat/>
    <w:rsid w:val="0003209E"/>
    <w:pPr>
      <w:numPr>
        <w:ilvl w:val="1"/>
      </w:numPr>
    </w:pPr>
    <w:rPr>
      <w:color w:val="EF7D00" w:themeColor="background1"/>
    </w:rPr>
  </w:style>
  <w:style w:type="character" w:customStyle="1" w:styleId="Heading1-numberedChar">
    <w:name w:val="Heading 1 - numbered Char"/>
    <w:basedOn w:val="Heading-numberedChar"/>
    <w:link w:val="Heading1-numbered"/>
    <w:rsid w:val="00F93446"/>
    <w:rPr>
      <w:rFonts w:asciiTheme="minorHAnsi" w:hAnsiTheme="minorHAnsi"/>
      <w:b/>
      <w:bCs/>
      <w:noProof/>
      <w:sz w:val="20"/>
    </w:rPr>
  </w:style>
  <w:style w:type="paragraph" w:customStyle="1" w:styleId="Heading3-numbered">
    <w:name w:val="Heading 3 - numbered"/>
    <w:basedOn w:val="Heading-numbered"/>
    <w:link w:val="Heading3-numberedChar"/>
    <w:qFormat/>
    <w:rsid w:val="0003209E"/>
    <w:pPr>
      <w:numPr>
        <w:ilvl w:val="2"/>
      </w:numPr>
      <w:ind w:left="851" w:right="27" w:hanging="851"/>
    </w:pPr>
    <w:rPr>
      <w:color w:val="A4B2A5" w:themeColor="text2"/>
    </w:rPr>
  </w:style>
  <w:style w:type="character" w:customStyle="1" w:styleId="Heading2-numberedChar">
    <w:name w:val="Heading 2 - numbered Char"/>
    <w:basedOn w:val="Heading-numberedChar"/>
    <w:link w:val="Heading2-numbered"/>
    <w:rsid w:val="0003209E"/>
    <w:rPr>
      <w:rFonts w:asciiTheme="minorHAnsi" w:hAnsiTheme="minorHAnsi"/>
      <w:b/>
      <w:bCs/>
      <w:noProof/>
      <w:color w:val="EF7D00" w:themeColor="background1"/>
      <w:sz w:val="20"/>
    </w:rPr>
  </w:style>
  <w:style w:type="character" w:customStyle="1" w:styleId="Heading3-numberedChar">
    <w:name w:val="Heading 3 - numbered Char"/>
    <w:basedOn w:val="Heading-numberedChar"/>
    <w:link w:val="Heading3-numbered"/>
    <w:rsid w:val="0003209E"/>
    <w:rPr>
      <w:rFonts w:asciiTheme="minorHAnsi" w:hAnsiTheme="minorHAnsi"/>
      <w:b/>
      <w:bCs/>
      <w:noProof/>
      <w:color w:val="A4B2A5" w:themeColor="text2"/>
      <w:sz w:val="20"/>
    </w:rPr>
  </w:style>
  <w:style w:type="paragraph" w:styleId="TOC4">
    <w:name w:val="toc 4"/>
    <w:basedOn w:val="Normal"/>
    <w:next w:val="Normal"/>
    <w:autoRedefine/>
    <w:uiPriority w:val="39"/>
    <w:semiHidden/>
    <w:unhideWhenUsed/>
    <w:rsid w:val="006C41B5"/>
    <w:pPr>
      <w:tabs>
        <w:tab w:val="left" w:pos="9072"/>
      </w:tabs>
      <w:spacing w:after="100"/>
      <w:ind w:left="720"/>
    </w:pPr>
  </w:style>
  <w:style w:type="paragraph" w:styleId="TOC5">
    <w:name w:val="toc 5"/>
    <w:basedOn w:val="Normal"/>
    <w:next w:val="Normal"/>
    <w:autoRedefine/>
    <w:uiPriority w:val="39"/>
    <w:semiHidden/>
    <w:unhideWhenUsed/>
    <w:rsid w:val="006C41B5"/>
    <w:pPr>
      <w:tabs>
        <w:tab w:val="left" w:pos="9072"/>
      </w:tabs>
      <w:spacing w:after="100"/>
      <w:ind w:left="960"/>
    </w:pPr>
  </w:style>
  <w:style w:type="paragraph" w:styleId="TOC6">
    <w:name w:val="toc 6"/>
    <w:basedOn w:val="Normal"/>
    <w:next w:val="Normal"/>
    <w:autoRedefine/>
    <w:uiPriority w:val="39"/>
    <w:semiHidden/>
    <w:unhideWhenUsed/>
    <w:rsid w:val="006C41B5"/>
    <w:pPr>
      <w:tabs>
        <w:tab w:val="left" w:pos="9072"/>
      </w:tabs>
      <w:spacing w:after="100"/>
      <w:ind w:left="1200"/>
    </w:pPr>
  </w:style>
  <w:style w:type="paragraph" w:styleId="TOC7">
    <w:name w:val="toc 7"/>
    <w:basedOn w:val="Normal"/>
    <w:next w:val="Normal"/>
    <w:autoRedefine/>
    <w:uiPriority w:val="39"/>
    <w:semiHidden/>
    <w:unhideWhenUsed/>
    <w:rsid w:val="006C41B5"/>
    <w:pPr>
      <w:tabs>
        <w:tab w:val="left" w:pos="9072"/>
      </w:tabs>
      <w:spacing w:after="100"/>
      <w:ind w:left="1440"/>
    </w:pPr>
  </w:style>
  <w:style w:type="paragraph" w:styleId="TOC8">
    <w:name w:val="toc 8"/>
    <w:basedOn w:val="Normal"/>
    <w:next w:val="Normal"/>
    <w:autoRedefine/>
    <w:uiPriority w:val="39"/>
    <w:semiHidden/>
    <w:unhideWhenUsed/>
    <w:rsid w:val="006C41B5"/>
    <w:pPr>
      <w:tabs>
        <w:tab w:val="left" w:pos="9072"/>
      </w:tabs>
      <w:spacing w:after="100"/>
      <w:ind w:left="1680"/>
    </w:pPr>
  </w:style>
  <w:style w:type="paragraph" w:styleId="TOC9">
    <w:name w:val="toc 9"/>
    <w:basedOn w:val="Normal"/>
    <w:next w:val="Normal"/>
    <w:autoRedefine/>
    <w:uiPriority w:val="39"/>
    <w:semiHidden/>
    <w:unhideWhenUsed/>
    <w:rsid w:val="006C41B5"/>
    <w:pPr>
      <w:tabs>
        <w:tab w:val="left" w:pos="9072"/>
      </w:tabs>
      <w:spacing w:after="100"/>
      <w:ind w:left="1920"/>
    </w:pPr>
  </w:style>
  <w:style w:type="table" w:customStyle="1" w:styleId="Ergontable">
    <w:name w:val="Ergon table"/>
    <w:basedOn w:val="TableNormal"/>
    <w:uiPriority w:val="99"/>
    <w:rsid w:val="000C2042"/>
    <w:pPr>
      <w:autoSpaceDN/>
      <w:spacing w:line="240" w:lineRule="atLeast"/>
      <w:textAlignment w:val="auto"/>
    </w:pPr>
    <w:rPr>
      <w:rFonts w:asciiTheme="minorHAnsi" w:eastAsiaTheme="minorEastAsia" w:hAnsiTheme="minorHAnsi" w:cs="Arial Unicode MS"/>
      <w:color w:val="A4B2A5" w:themeColor="text2"/>
      <w:sz w:val="18"/>
      <w:szCs w:val="18"/>
      <w:lang w:eastAsia="zh-CN"/>
    </w:rPr>
    <w:tblPr>
      <w:tblBorders>
        <w:insideH w:val="single" w:sz="4" w:space="0" w:color="EF7D00" w:themeColor="background1"/>
        <w:insideV w:val="single" w:sz="4" w:space="0" w:color="EF7D00" w:themeColor="background1"/>
      </w:tblBorders>
      <w:tblCellMar>
        <w:top w:w="57" w:type="dxa"/>
        <w:left w:w="113" w:type="dxa"/>
        <w:bottom w:w="113" w:type="dxa"/>
        <w:right w:w="113" w:type="dxa"/>
      </w:tblCellMar>
    </w:tblPr>
    <w:tcPr>
      <w:shd w:val="clear" w:color="auto" w:fill="FFFFFF" w:themeFill="background2" w:themeFillTint="33"/>
    </w:tcPr>
    <w:tblStylePr w:type="firstRow">
      <w:rPr>
        <w:rFonts w:ascii="Franklin Gothic Medium" w:hAnsi="Franklin Gothic Medium"/>
        <w:color w:val="EF7D00" w:themeColor="background1"/>
      </w:rPr>
      <w:tblPr/>
      <w:trPr>
        <w:tblHeader/>
      </w:trPr>
      <w:tcPr>
        <w:shd w:val="clear" w:color="auto" w:fill="000000" w:themeFill="accent1"/>
      </w:tcPr>
    </w:tblStylePr>
  </w:style>
  <w:style w:type="character" w:customStyle="1" w:styleId="NormalBold">
    <w:name w:val="Normal Bold"/>
    <w:basedOn w:val="DefaultParagraphFont"/>
    <w:uiPriority w:val="1"/>
    <w:qFormat/>
    <w:rsid w:val="000C2042"/>
    <w:rPr>
      <w:rFonts w:ascii="Franklin Gothic Medium" w:hAnsi="Franklin Gothic Medium"/>
    </w:rPr>
  </w:style>
  <w:style w:type="character" w:customStyle="1" w:styleId="ui-provider">
    <w:name w:val="ui-provider"/>
    <w:basedOn w:val="DefaultParagraphFont"/>
    <w:rsid w:val="000C2042"/>
  </w:style>
  <w:style w:type="table" w:styleId="TableGrid">
    <w:name w:val="Table Grid"/>
    <w:basedOn w:val="TableNormal"/>
    <w:uiPriority w:val="39"/>
    <w:rsid w:val="00383845"/>
    <w:pPr>
      <w:autoSpaceDN/>
      <w:textAlignment w:val="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rgonList">
    <w:name w:val="Ergon List"/>
    <w:uiPriority w:val="99"/>
    <w:rsid w:val="00383845"/>
    <w:pPr>
      <w:numPr>
        <w:numId w:val="42"/>
      </w:numPr>
    </w:pPr>
  </w:style>
  <w:style w:type="paragraph" w:customStyle="1" w:styleId="Tabletext">
    <w:name w:val="Table text"/>
    <w:qFormat/>
    <w:rsid w:val="00383845"/>
    <w:pPr>
      <w:autoSpaceDN/>
      <w:spacing w:line="240" w:lineRule="atLeast"/>
      <w:textAlignment w:val="auto"/>
    </w:pPr>
    <w:rPr>
      <w:rFonts w:asciiTheme="minorHAnsi" w:eastAsiaTheme="minorEastAsia" w:hAnsiTheme="minorHAnsi" w:cstheme="minorBidi"/>
      <w:color w:val="A4B2A5" w:themeColor="text2"/>
      <w:sz w:val="18"/>
      <w:szCs w:val="22"/>
      <w:lang w:eastAsia="zh-CN"/>
    </w:rPr>
  </w:style>
  <w:style w:type="paragraph" w:customStyle="1" w:styleId="Pullquotetext">
    <w:name w:val="Pull quote text"/>
    <w:basedOn w:val="Normal"/>
    <w:qFormat/>
    <w:rsid w:val="00C64348"/>
    <w:pPr>
      <w:autoSpaceDN/>
      <w:spacing w:after="260" w:line="260" w:lineRule="atLeast"/>
      <w:textAlignment w:val="auto"/>
    </w:pPr>
    <w:rPr>
      <w:rFonts w:asciiTheme="minorHAnsi" w:eastAsiaTheme="minorEastAsia" w:hAnsiTheme="minorHAnsi" w:cstheme="minorBidi"/>
      <w:color w:val="EF7D00" w:themeColor="background1"/>
      <w:sz w:val="20"/>
      <w:szCs w:val="22"/>
      <w:lang w:eastAsia="zh-CN"/>
    </w:rPr>
  </w:style>
  <w:style w:type="paragraph" w:customStyle="1" w:styleId="Pullquotetitle">
    <w:name w:val="Pull quote title"/>
    <w:basedOn w:val="Pullquotetext"/>
    <w:next w:val="Pullquotetext"/>
    <w:qFormat/>
    <w:rsid w:val="00C64348"/>
    <w:pPr>
      <w:spacing w:after="300" w:line="300" w:lineRule="atLeast"/>
    </w:pPr>
    <w:rPr>
      <w:sz w:val="24"/>
    </w:rPr>
  </w:style>
  <w:style w:type="character" w:styleId="UnresolvedMention">
    <w:name w:val="Unresolved Mention"/>
    <w:basedOn w:val="DefaultParagraphFont"/>
    <w:uiPriority w:val="99"/>
    <w:semiHidden/>
    <w:unhideWhenUsed/>
    <w:rsid w:val="00BD66C2"/>
    <w:rPr>
      <w:color w:val="605E5C"/>
      <w:shd w:val="clear" w:color="auto" w:fill="E1DFDD"/>
    </w:rPr>
  </w:style>
  <w:style w:type="paragraph" w:customStyle="1" w:styleId="Tabletitle">
    <w:name w:val="Table title"/>
    <w:basedOn w:val="Tabletext"/>
    <w:next w:val="Tabletext"/>
    <w:qFormat/>
    <w:rsid w:val="00AB7ACA"/>
    <w:rPr>
      <w:color w:val="EF7D00" w:themeColor="background1"/>
    </w:rPr>
  </w:style>
  <w:style w:type="table" w:styleId="GridTable1Light">
    <w:name w:val="Grid Table 1 Light"/>
    <w:basedOn w:val="TableNormal"/>
    <w:uiPriority w:val="46"/>
    <w:rsid w:val="00AB7A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872236"/>
    <w:tblPr>
      <w:tblStyleRowBandSize w:val="1"/>
      <w:tblStyleColBandSize w:val="1"/>
      <w:tblBorders>
        <w:top w:val="single" w:sz="4" w:space="0" w:color="FFB15C" w:themeColor="accent4" w:themeTint="99"/>
        <w:left w:val="single" w:sz="4" w:space="0" w:color="FFB15C" w:themeColor="accent4" w:themeTint="99"/>
        <w:bottom w:val="single" w:sz="4" w:space="0" w:color="FFB15C" w:themeColor="accent4" w:themeTint="99"/>
        <w:right w:val="single" w:sz="4" w:space="0" w:color="FFB15C" w:themeColor="accent4" w:themeTint="99"/>
        <w:insideH w:val="single" w:sz="4" w:space="0" w:color="FFB15C" w:themeColor="accent4" w:themeTint="99"/>
        <w:insideV w:val="single" w:sz="4" w:space="0" w:color="FFB15C" w:themeColor="accent4" w:themeTint="99"/>
      </w:tblBorders>
    </w:tblPr>
    <w:tblStylePr w:type="firstRow">
      <w:rPr>
        <w:b/>
        <w:bCs/>
        <w:color w:val="EF7D00" w:themeColor="background1"/>
      </w:rPr>
      <w:tblPr/>
      <w:tcPr>
        <w:tcBorders>
          <w:top w:val="single" w:sz="4" w:space="0" w:color="EF7D00" w:themeColor="accent4"/>
          <w:left w:val="single" w:sz="4" w:space="0" w:color="EF7D00" w:themeColor="accent4"/>
          <w:bottom w:val="single" w:sz="4" w:space="0" w:color="EF7D00" w:themeColor="accent4"/>
          <w:right w:val="single" w:sz="4" w:space="0" w:color="EF7D00" w:themeColor="accent4"/>
          <w:insideH w:val="nil"/>
          <w:insideV w:val="nil"/>
        </w:tcBorders>
        <w:shd w:val="clear" w:color="auto" w:fill="EF7D00" w:themeFill="accent4"/>
      </w:tcPr>
    </w:tblStylePr>
    <w:tblStylePr w:type="lastRow">
      <w:rPr>
        <w:b/>
        <w:bCs/>
      </w:rPr>
      <w:tblPr/>
      <w:tcPr>
        <w:tcBorders>
          <w:top w:val="double" w:sz="4" w:space="0" w:color="EF7D00" w:themeColor="accent4"/>
        </w:tcBorders>
      </w:tcPr>
    </w:tblStylePr>
    <w:tblStylePr w:type="firstCol">
      <w:rPr>
        <w:b/>
        <w:bCs/>
      </w:rPr>
    </w:tblStylePr>
    <w:tblStylePr w:type="lastCol">
      <w:rPr>
        <w:b/>
        <w:bCs/>
      </w:rPr>
    </w:tblStylePr>
    <w:tblStylePr w:type="band1Vert">
      <w:tblPr/>
      <w:tcPr>
        <w:shd w:val="clear" w:color="auto" w:fill="FFE5C8" w:themeFill="accent4" w:themeFillTint="33"/>
      </w:tcPr>
    </w:tblStylePr>
    <w:tblStylePr w:type="band1Horz">
      <w:tblPr/>
      <w:tcPr>
        <w:shd w:val="clear" w:color="auto" w:fill="FFE5C8" w:themeFill="accent4" w:themeFillTint="33"/>
      </w:tcPr>
    </w:tblStylePr>
  </w:style>
  <w:style w:type="table" w:styleId="PlainTable1">
    <w:name w:val="Plain Table 1"/>
    <w:basedOn w:val="TableNormal"/>
    <w:uiPriority w:val="41"/>
    <w:rsid w:val="000F7EB1"/>
    <w:pPr>
      <w:autoSpaceDN/>
      <w:textAlignment w:val="auto"/>
    </w:pPr>
    <w:rPr>
      <w:rFonts w:asciiTheme="minorHAnsi" w:eastAsiaTheme="minorEastAsia" w:hAnsiTheme="minorHAnsi" w:cstheme="minorBidi"/>
      <w:sz w:val="22"/>
      <w:szCs w:val="22"/>
      <w:lang w:eastAsia="zh-CN"/>
    </w:rPr>
    <w:tblPr>
      <w:tblStyleRowBandSize w:val="1"/>
      <w:tblStyleColBandSize w:val="1"/>
      <w:tblBorders>
        <w:top w:val="single" w:sz="4" w:space="0" w:color="B35D00" w:themeColor="background1" w:themeShade="BF"/>
        <w:left w:val="single" w:sz="4" w:space="0" w:color="B35D00" w:themeColor="background1" w:themeShade="BF"/>
        <w:bottom w:val="single" w:sz="4" w:space="0" w:color="B35D00" w:themeColor="background1" w:themeShade="BF"/>
        <w:right w:val="single" w:sz="4" w:space="0" w:color="B35D00" w:themeColor="background1" w:themeShade="BF"/>
        <w:insideH w:val="single" w:sz="4" w:space="0" w:color="B35D00" w:themeColor="background1" w:themeShade="BF"/>
        <w:insideV w:val="single" w:sz="4" w:space="0" w:color="B35D00" w:themeColor="background1" w:themeShade="BF"/>
      </w:tblBorders>
    </w:tblPr>
    <w:tblStylePr w:type="firstRow">
      <w:rPr>
        <w:b/>
        <w:bCs/>
      </w:rPr>
    </w:tblStylePr>
    <w:tblStylePr w:type="lastRow">
      <w:rPr>
        <w:b/>
        <w:bCs/>
      </w:rPr>
      <w:tblPr/>
      <w:tcPr>
        <w:tcBorders>
          <w:top w:val="double" w:sz="4" w:space="0" w:color="B35D00" w:themeColor="background1" w:themeShade="BF"/>
        </w:tcBorders>
      </w:tcPr>
    </w:tblStylePr>
    <w:tblStylePr w:type="firstCol">
      <w:rPr>
        <w:b/>
        <w:bCs/>
      </w:rPr>
    </w:tblStylePr>
    <w:tblStylePr w:type="lastCol">
      <w:rPr>
        <w:b/>
        <w:bCs/>
      </w:rPr>
    </w:tblStylePr>
    <w:tblStylePr w:type="band1Vert">
      <w:tblPr/>
      <w:tcPr>
        <w:shd w:val="clear" w:color="auto" w:fill="E27600" w:themeFill="background1" w:themeFillShade="F2"/>
      </w:tcPr>
    </w:tblStylePr>
    <w:tblStylePr w:type="band1Horz">
      <w:tblPr/>
      <w:tcPr>
        <w:shd w:val="clear" w:color="auto" w:fill="E27600" w:themeFill="background1" w:themeFillShade="F2"/>
      </w:tcPr>
    </w:tblStylePr>
  </w:style>
  <w:style w:type="table" w:styleId="GridTable3-Accent2">
    <w:name w:val="Grid Table 3 Accent 2"/>
    <w:basedOn w:val="TableNormal"/>
    <w:uiPriority w:val="48"/>
    <w:rsid w:val="000F7EB1"/>
    <w:tblPr>
      <w:tblStyleRowBandSize w:val="1"/>
      <w:tblStyleColBandSize w:val="1"/>
      <w:tblBorders>
        <w:top w:val="single" w:sz="4" w:space="0" w:color="C8D0C8" w:themeColor="accent2" w:themeTint="99"/>
        <w:left w:val="single" w:sz="4" w:space="0" w:color="C8D0C8" w:themeColor="accent2" w:themeTint="99"/>
        <w:bottom w:val="single" w:sz="4" w:space="0" w:color="C8D0C8" w:themeColor="accent2" w:themeTint="99"/>
        <w:right w:val="single" w:sz="4" w:space="0" w:color="C8D0C8" w:themeColor="accent2" w:themeTint="99"/>
        <w:insideH w:val="single" w:sz="4" w:space="0" w:color="C8D0C8" w:themeColor="accent2" w:themeTint="99"/>
        <w:insideV w:val="single" w:sz="4" w:space="0" w:color="C8D0C8" w:themeColor="accent2" w:themeTint="99"/>
      </w:tblBorders>
    </w:tblPr>
    <w:tblStylePr w:type="firstRow">
      <w:rPr>
        <w:b/>
        <w:bCs/>
      </w:rPr>
      <w:tblPr/>
      <w:tcPr>
        <w:tcBorders>
          <w:top w:val="nil"/>
          <w:left w:val="nil"/>
          <w:right w:val="nil"/>
          <w:insideH w:val="nil"/>
          <w:insideV w:val="nil"/>
        </w:tcBorders>
        <w:shd w:val="clear" w:color="auto" w:fill="EF7D00" w:themeFill="background1"/>
      </w:tcPr>
    </w:tblStylePr>
    <w:tblStylePr w:type="lastRow">
      <w:rPr>
        <w:b/>
        <w:bCs/>
      </w:rPr>
      <w:tblPr/>
      <w:tcPr>
        <w:tcBorders>
          <w:left w:val="nil"/>
          <w:bottom w:val="nil"/>
          <w:right w:val="nil"/>
          <w:insideH w:val="nil"/>
          <w:insideV w:val="nil"/>
        </w:tcBorders>
        <w:shd w:val="clear" w:color="auto" w:fill="EF7D00" w:themeFill="background1"/>
      </w:tcPr>
    </w:tblStylePr>
    <w:tblStylePr w:type="firstCol">
      <w:pPr>
        <w:jc w:val="right"/>
      </w:pPr>
      <w:rPr>
        <w:i/>
        <w:iCs/>
      </w:rPr>
      <w:tblPr/>
      <w:tcPr>
        <w:tcBorders>
          <w:top w:val="nil"/>
          <w:left w:val="nil"/>
          <w:bottom w:val="nil"/>
          <w:insideH w:val="nil"/>
          <w:insideV w:val="nil"/>
        </w:tcBorders>
        <w:shd w:val="clear" w:color="auto" w:fill="EF7D00" w:themeFill="background1"/>
      </w:tcPr>
    </w:tblStylePr>
    <w:tblStylePr w:type="lastCol">
      <w:rPr>
        <w:i/>
        <w:iCs/>
      </w:rPr>
      <w:tblPr/>
      <w:tcPr>
        <w:tcBorders>
          <w:top w:val="nil"/>
          <w:bottom w:val="nil"/>
          <w:right w:val="nil"/>
          <w:insideH w:val="nil"/>
          <w:insideV w:val="nil"/>
        </w:tcBorders>
        <w:shd w:val="clear" w:color="auto" w:fill="EF7D00" w:themeFill="background1"/>
      </w:tcPr>
    </w:tblStylePr>
    <w:tblStylePr w:type="band1Vert">
      <w:tblPr/>
      <w:tcPr>
        <w:shd w:val="clear" w:color="auto" w:fill="ECEFEC" w:themeFill="accent2" w:themeFillTint="33"/>
      </w:tcPr>
    </w:tblStylePr>
    <w:tblStylePr w:type="band1Horz">
      <w:tblPr/>
      <w:tcPr>
        <w:shd w:val="clear" w:color="auto" w:fill="ECEFEC" w:themeFill="accent2" w:themeFillTint="33"/>
      </w:tcPr>
    </w:tblStylePr>
    <w:tblStylePr w:type="neCell">
      <w:tblPr/>
      <w:tcPr>
        <w:tcBorders>
          <w:bottom w:val="single" w:sz="4" w:space="0" w:color="C8D0C8" w:themeColor="accent2" w:themeTint="99"/>
        </w:tcBorders>
      </w:tcPr>
    </w:tblStylePr>
    <w:tblStylePr w:type="nwCell">
      <w:tblPr/>
      <w:tcPr>
        <w:tcBorders>
          <w:bottom w:val="single" w:sz="4" w:space="0" w:color="C8D0C8" w:themeColor="accent2" w:themeTint="99"/>
        </w:tcBorders>
      </w:tcPr>
    </w:tblStylePr>
    <w:tblStylePr w:type="seCell">
      <w:tblPr/>
      <w:tcPr>
        <w:tcBorders>
          <w:top w:val="single" w:sz="4" w:space="0" w:color="C8D0C8" w:themeColor="accent2" w:themeTint="99"/>
        </w:tcBorders>
      </w:tcPr>
    </w:tblStylePr>
    <w:tblStylePr w:type="swCell">
      <w:tblPr/>
      <w:tcPr>
        <w:tcBorders>
          <w:top w:val="single" w:sz="4" w:space="0" w:color="C8D0C8" w:themeColor="accent2" w:themeTint="99"/>
        </w:tcBorders>
      </w:tcPr>
    </w:tblStylePr>
  </w:style>
  <w:style w:type="table" w:styleId="GridTable7Colorful-Accent2">
    <w:name w:val="Grid Table 7 Colorful Accent 2"/>
    <w:basedOn w:val="TableNormal"/>
    <w:uiPriority w:val="52"/>
    <w:rsid w:val="000F7EB1"/>
    <w:rPr>
      <w:color w:val="758A76" w:themeColor="accent2" w:themeShade="BF"/>
    </w:rPr>
    <w:tblPr>
      <w:tblStyleRowBandSize w:val="1"/>
      <w:tblStyleColBandSize w:val="1"/>
      <w:tblBorders>
        <w:top w:val="single" w:sz="4" w:space="0" w:color="C8D0C8" w:themeColor="accent2" w:themeTint="99"/>
        <w:left w:val="single" w:sz="4" w:space="0" w:color="C8D0C8" w:themeColor="accent2" w:themeTint="99"/>
        <w:bottom w:val="single" w:sz="4" w:space="0" w:color="C8D0C8" w:themeColor="accent2" w:themeTint="99"/>
        <w:right w:val="single" w:sz="4" w:space="0" w:color="C8D0C8" w:themeColor="accent2" w:themeTint="99"/>
        <w:insideH w:val="single" w:sz="4" w:space="0" w:color="C8D0C8" w:themeColor="accent2" w:themeTint="99"/>
        <w:insideV w:val="single" w:sz="4" w:space="0" w:color="C8D0C8" w:themeColor="accent2" w:themeTint="99"/>
      </w:tblBorders>
    </w:tblPr>
    <w:tblStylePr w:type="firstRow">
      <w:rPr>
        <w:b/>
        <w:bCs/>
      </w:rPr>
      <w:tblPr/>
      <w:tcPr>
        <w:tcBorders>
          <w:top w:val="nil"/>
          <w:left w:val="nil"/>
          <w:right w:val="nil"/>
          <w:insideH w:val="nil"/>
          <w:insideV w:val="nil"/>
        </w:tcBorders>
        <w:shd w:val="clear" w:color="auto" w:fill="EF7D00" w:themeFill="background1"/>
      </w:tcPr>
    </w:tblStylePr>
    <w:tblStylePr w:type="lastRow">
      <w:rPr>
        <w:b/>
        <w:bCs/>
      </w:rPr>
      <w:tblPr/>
      <w:tcPr>
        <w:tcBorders>
          <w:left w:val="nil"/>
          <w:bottom w:val="nil"/>
          <w:right w:val="nil"/>
          <w:insideH w:val="nil"/>
          <w:insideV w:val="nil"/>
        </w:tcBorders>
        <w:shd w:val="clear" w:color="auto" w:fill="EF7D00" w:themeFill="background1"/>
      </w:tcPr>
    </w:tblStylePr>
    <w:tblStylePr w:type="firstCol">
      <w:pPr>
        <w:jc w:val="right"/>
      </w:pPr>
      <w:rPr>
        <w:i/>
        <w:iCs/>
      </w:rPr>
      <w:tblPr/>
      <w:tcPr>
        <w:tcBorders>
          <w:top w:val="nil"/>
          <w:left w:val="nil"/>
          <w:bottom w:val="nil"/>
          <w:insideH w:val="nil"/>
          <w:insideV w:val="nil"/>
        </w:tcBorders>
        <w:shd w:val="clear" w:color="auto" w:fill="EF7D00" w:themeFill="background1"/>
      </w:tcPr>
    </w:tblStylePr>
    <w:tblStylePr w:type="lastCol">
      <w:rPr>
        <w:i/>
        <w:iCs/>
      </w:rPr>
      <w:tblPr/>
      <w:tcPr>
        <w:tcBorders>
          <w:top w:val="nil"/>
          <w:bottom w:val="nil"/>
          <w:right w:val="nil"/>
          <w:insideH w:val="nil"/>
          <w:insideV w:val="nil"/>
        </w:tcBorders>
        <w:shd w:val="clear" w:color="auto" w:fill="EF7D00" w:themeFill="background1"/>
      </w:tcPr>
    </w:tblStylePr>
    <w:tblStylePr w:type="band1Vert">
      <w:tblPr/>
      <w:tcPr>
        <w:shd w:val="clear" w:color="auto" w:fill="ECEFEC" w:themeFill="accent2" w:themeFillTint="33"/>
      </w:tcPr>
    </w:tblStylePr>
    <w:tblStylePr w:type="band1Horz">
      <w:tblPr/>
      <w:tcPr>
        <w:shd w:val="clear" w:color="auto" w:fill="ECEFEC" w:themeFill="accent2" w:themeFillTint="33"/>
      </w:tcPr>
    </w:tblStylePr>
    <w:tblStylePr w:type="neCell">
      <w:tblPr/>
      <w:tcPr>
        <w:tcBorders>
          <w:bottom w:val="single" w:sz="4" w:space="0" w:color="C8D0C8" w:themeColor="accent2" w:themeTint="99"/>
        </w:tcBorders>
      </w:tcPr>
    </w:tblStylePr>
    <w:tblStylePr w:type="nwCell">
      <w:tblPr/>
      <w:tcPr>
        <w:tcBorders>
          <w:bottom w:val="single" w:sz="4" w:space="0" w:color="C8D0C8" w:themeColor="accent2" w:themeTint="99"/>
        </w:tcBorders>
      </w:tcPr>
    </w:tblStylePr>
    <w:tblStylePr w:type="seCell">
      <w:tblPr/>
      <w:tcPr>
        <w:tcBorders>
          <w:top w:val="single" w:sz="4" w:space="0" w:color="C8D0C8" w:themeColor="accent2" w:themeTint="99"/>
        </w:tcBorders>
      </w:tcPr>
    </w:tblStylePr>
    <w:tblStylePr w:type="swCell">
      <w:tblPr/>
      <w:tcPr>
        <w:tcBorders>
          <w:top w:val="single" w:sz="4" w:space="0" w:color="C8D0C8"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oolkit.bii.co.uk/esg-topics/gender-based-violence-and-harass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bvguidelines.org/wp/wp-content/uploads/2018/03/GBV_UserGuide_021618.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bvguidelines.org/wp/wp-content/uploads/2018/03/GBV_PocketGuide021718.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ii.co.uk/wp-content/uploads/2020/07/Addressing-gender-based-violence-and-harrass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Desktop\SYNTHESIS\SL2122%20work\CDC\BII%20brand%20update%20Feb22\BII%20document%20template%20v0.2%2016Feb22.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 Blank document with logo" ma:contentTypeID="0x0101001AE287E3BCC07049AAD0134B3AFED4050A009E77AB13905FB24D960F3430CDCB04FF" ma:contentTypeVersion="97" ma:contentTypeDescription="" ma:contentTypeScope="" ma:versionID="cb7c5d945f0d80a7839abd3d83d6eed3">
  <xsd:schema xmlns:xsd="http://www.w3.org/2001/XMLSchema" xmlns:xs="http://www.w3.org/2001/XMLSchema" xmlns:p="http://schemas.microsoft.com/office/2006/metadata/properties" xmlns:ns2="870cb497-4044-4cf2-90cc-f4ae0dbc3665" targetNamespace="http://schemas.microsoft.com/office/2006/metadata/properties" ma:root="true" ma:fieldsID="e23e5030cc49c547dd005bd99fbcb805" ns2:_="">
    <xsd:import namespace="870cb497-4044-4cf2-90cc-f4ae0dbc3665"/>
    <xsd:element name="properties">
      <xsd:complexType>
        <xsd:sequence>
          <xsd:element name="documentManagement">
            <xsd:complexType>
              <xsd:all>
                <xsd:element ref="ns2:e60208c032404629b4d3226b63133635" minOccurs="0"/>
                <xsd:element ref="ns2:TaxCatchAll" minOccurs="0"/>
                <xsd:element ref="ns2:TaxCatchAllLabel" minOccurs="0"/>
                <xsd:element ref="ns2:m84d7c7f63cb451b899bccc83df50b6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e60208c032404629b4d3226b63133635" ma:index="8" nillable="true" ma:taxonomy="true" ma:internalName="e60208c032404629b4d3226b63133635" ma:taxonomyFieldName="CDCRelateTo" ma:displayName="Relates To" ma:readOnly="false"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m84d7c7f63cb451b899bccc83df50b61" ma:index="12" nillable="true" ma:taxonomy="true" ma:internalName="m84d7c7f63cb451b899bccc83df50b61" ma:taxonomyFieldName="CDCDocumentType" ma:displayName="Document Type" ma:readOnly="fals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a5800705-6cab-460c-b450-fee685b6c533" ContentTypeId="0x0101001AE287E3BCC07049AAD0134B3AFED405" PreviousValue="true"/>
</file>

<file path=customXml/item5.xml><?xml version="1.0" encoding="utf-8"?>
<p:properties xmlns:p="http://schemas.microsoft.com/office/2006/metadata/properties" xmlns:xsi="http://www.w3.org/2001/XMLSchema-instance" xmlns:pc="http://schemas.microsoft.com/office/infopath/2007/PartnerControls">
  <documentManagement>
    <TaxCatchAll xmlns="870cb497-4044-4cf2-90cc-f4ae0dbc3665" xsi:nil="true"/>
    <e60208c032404629b4d3226b63133635 xmlns="870cb497-4044-4cf2-90cc-f4ae0dbc3665">
      <Terms xmlns="http://schemas.microsoft.com/office/infopath/2007/PartnerControls"/>
    </e60208c032404629b4d3226b63133635>
    <m84d7c7f63cb451b899bccc83df50b61 xmlns="870cb497-4044-4cf2-90cc-f4ae0dbc3665">
      <Terms xmlns="http://schemas.microsoft.com/office/infopath/2007/PartnerControls"/>
    </m84d7c7f63cb451b899bccc83df50b61>
  </documentManagement>
</p:properties>
</file>

<file path=customXml/itemProps1.xml><?xml version="1.0" encoding="utf-8"?>
<ds:datastoreItem xmlns:ds="http://schemas.openxmlformats.org/officeDocument/2006/customXml" ds:itemID="{BC9C8938-1E31-45A4-A086-E581E9EF3356}">
  <ds:schemaRefs>
    <ds:schemaRef ds:uri="http://schemas.microsoft.com/sharepoint/v3/contenttype/forms"/>
  </ds:schemaRefs>
</ds:datastoreItem>
</file>

<file path=customXml/itemProps2.xml><?xml version="1.0" encoding="utf-8"?>
<ds:datastoreItem xmlns:ds="http://schemas.openxmlformats.org/officeDocument/2006/customXml" ds:itemID="{1BF0718D-0264-4725-959E-52683FB8BA48}"/>
</file>

<file path=customXml/itemProps3.xml><?xml version="1.0" encoding="utf-8"?>
<ds:datastoreItem xmlns:ds="http://schemas.openxmlformats.org/officeDocument/2006/customXml" ds:itemID="{7EE00491-7459-479C-B7A6-9E1491BAE64C}">
  <ds:schemaRefs>
    <ds:schemaRef ds:uri="http://schemas.openxmlformats.org/officeDocument/2006/bibliography"/>
  </ds:schemaRefs>
</ds:datastoreItem>
</file>

<file path=customXml/itemProps4.xml><?xml version="1.0" encoding="utf-8"?>
<ds:datastoreItem xmlns:ds="http://schemas.openxmlformats.org/officeDocument/2006/customXml" ds:itemID="{4E1486E2-BA4B-4F66-B0BA-2E7D4513EC5D}"/>
</file>

<file path=customXml/itemProps5.xml><?xml version="1.0" encoding="utf-8"?>
<ds:datastoreItem xmlns:ds="http://schemas.openxmlformats.org/officeDocument/2006/customXml" ds:itemID="{986D2508-EAE4-4DCA-A286-059355C47397}">
  <ds:schemaRefs>
    <ds:schemaRef ds:uri="http://schemas.microsoft.com/office/2006/metadata/properties"/>
    <ds:schemaRef ds:uri="870cb497-4044-4cf2-90cc-f4ae0dbc3665"/>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BII document template v0.2 16Feb22</Template>
  <TotalTime>5</TotalTime>
  <Pages>4</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Medical Writer</dc:creator>
  <cp:keywords/>
  <dc:description/>
  <cp:lastModifiedBy>Akshara Gopinath</cp:lastModifiedBy>
  <cp:revision>12</cp:revision>
  <dcterms:created xsi:type="dcterms:W3CDTF">2023-09-22T16:38:00Z</dcterms:created>
  <dcterms:modified xsi:type="dcterms:W3CDTF">2023-09-22T16:44:00Z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0x0101001AE287E3BCC07049AAD0134B3AFED4050A009E77AB13905FB24D960F3430CDCB04FF</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ies>
</file>