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B495" w14:textId="77777777" w:rsidR="0010478B" w:rsidRPr="00541044" w:rsidRDefault="0010478B" w:rsidP="0010478B">
      <w:pPr>
        <w:pStyle w:val="Heading1"/>
        <w:rPr>
          <w:szCs w:val="24"/>
        </w:rPr>
      </w:pPr>
      <w:r w:rsidRPr="00541044">
        <w:rPr>
          <w:szCs w:val="24"/>
        </w:rPr>
        <w:t>DRAFT: Human Resources policy template</w:t>
      </w:r>
    </w:p>
    <w:p w14:paraId="3025726D" w14:textId="77777777" w:rsidR="0010478B" w:rsidRDefault="0010478B" w:rsidP="0010478B">
      <w:pPr>
        <w:pStyle w:val="Heading2"/>
      </w:pPr>
      <w:r>
        <w:t>How to use this template</w:t>
      </w:r>
    </w:p>
    <w:p w14:paraId="27A37F37" w14:textId="77777777" w:rsidR="0010478B" w:rsidRDefault="0010478B" w:rsidP="0010478B">
      <w:r>
        <w:t>This template is designed to assist your organisation to develop a Human Resources (HR) policy which addresses investor standards on labour and working conditions, particularly IFC Performance Standard 2 (PS2).</w:t>
      </w:r>
    </w:p>
    <w:p w14:paraId="3E92EB6F" w14:textId="77777777" w:rsidR="009814BB" w:rsidRPr="00304ED2" w:rsidRDefault="009814BB" w:rsidP="0010478B">
      <w:pPr>
        <w:rPr>
          <w:sz w:val="32"/>
          <w:szCs w:val="32"/>
        </w:rPr>
      </w:pPr>
    </w:p>
    <w:tbl>
      <w:tblPr>
        <w:tblStyle w:val="TableGrid"/>
        <w:tblW w:w="0" w:type="auto"/>
        <w:tblLook w:val="04A0" w:firstRow="1" w:lastRow="0" w:firstColumn="1" w:lastColumn="0" w:noHBand="0" w:noVBand="1"/>
      </w:tblPr>
      <w:tblGrid>
        <w:gridCol w:w="9060"/>
      </w:tblGrid>
      <w:tr w:rsidR="0010478B" w:rsidRPr="00304ED2" w14:paraId="23DAF015" w14:textId="77777777" w:rsidTr="001C495A">
        <w:trPr>
          <w:trHeight w:val="267"/>
        </w:trPr>
        <w:tc>
          <w:tcPr>
            <w:tcW w:w="0" w:type="dxa"/>
          </w:tcPr>
          <w:p w14:paraId="46541CA0" w14:textId="77777777" w:rsidR="0010478B" w:rsidRPr="001D01A1" w:rsidRDefault="0010478B" w:rsidP="00B80963">
            <w:pPr>
              <w:pStyle w:val="Tabletitle"/>
              <w:rPr>
                <w:b/>
                <w:bCs/>
                <w:color w:val="auto"/>
                <w:sz w:val="22"/>
                <w:szCs w:val="28"/>
              </w:rPr>
            </w:pPr>
            <w:r w:rsidRPr="001D01A1">
              <w:rPr>
                <w:b/>
                <w:bCs/>
                <w:color w:val="auto"/>
                <w:sz w:val="22"/>
                <w:szCs w:val="28"/>
              </w:rPr>
              <w:t>IFC Performance Standard 2 on HR policies and procedures (PS2.8 &amp; 2.9)</w:t>
            </w:r>
          </w:p>
        </w:tc>
      </w:tr>
      <w:tr w:rsidR="0010478B" w:rsidRPr="00304ED2" w14:paraId="7E55767D" w14:textId="77777777" w:rsidTr="001C495A">
        <w:tc>
          <w:tcPr>
            <w:tcW w:w="9060" w:type="dxa"/>
          </w:tcPr>
          <w:p w14:paraId="213913D2" w14:textId="77777777" w:rsidR="0010478B" w:rsidRPr="00304ED2" w:rsidRDefault="0010478B" w:rsidP="00B80963">
            <w:pPr>
              <w:pStyle w:val="Tabletext"/>
              <w:rPr>
                <w:color w:val="auto"/>
                <w:sz w:val="22"/>
                <w:szCs w:val="28"/>
              </w:rPr>
            </w:pPr>
            <w:r w:rsidRPr="00304ED2">
              <w:rPr>
                <w:color w:val="auto"/>
                <w:sz w:val="22"/>
                <w:szCs w:val="28"/>
              </w:rPr>
              <w:t xml:space="preserve">“The client will adopt and implement human resources policies and procedures appropriate to its size and workforce that set out its approach to managing workers consistent with the requirements of this Performance Standard and national law. </w:t>
            </w:r>
          </w:p>
          <w:p w14:paraId="25BA2FFD" w14:textId="77777777" w:rsidR="0010478B" w:rsidRPr="00304ED2" w:rsidRDefault="0010478B" w:rsidP="00B80963">
            <w:pPr>
              <w:pStyle w:val="Tabletext"/>
              <w:rPr>
                <w:color w:val="auto"/>
                <w:sz w:val="22"/>
                <w:szCs w:val="28"/>
              </w:rPr>
            </w:pPr>
          </w:p>
          <w:p w14:paraId="72CFC86F" w14:textId="77777777" w:rsidR="0010478B" w:rsidRPr="00304ED2" w:rsidRDefault="0010478B" w:rsidP="00B80963">
            <w:pPr>
              <w:pStyle w:val="Tabletext"/>
              <w:rPr>
                <w:color w:val="auto"/>
                <w:sz w:val="22"/>
                <w:szCs w:val="28"/>
              </w:rPr>
            </w:pPr>
            <w:r w:rsidRPr="00304ED2">
              <w:rPr>
                <w:color w:val="auto"/>
                <w:sz w:val="22"/>
                <w:szCs w:val="28"/>
              </w:rPr>
              <w:t>The client will provide workers with documented information that is clear and understandable, regarding their rights under national labour and employment law and any applicable collective agreements, including their rights related to hours of work, wages, overtime, compensation, and benefits upon beginning the working relationship and when any material changes occur”.</w:t>
            </w:r>
          </w:p>
          <w:p w14:paraId="28494E20" w14:textId="77777777" w:rsidR="0010478B" w:rsidRPr="00304ED2" w:rsidRDefault="0010478B" w:rsidP="00B80963">
            <w:pPr>
              <w:pStyle w:val="Tabletext"/>
              <w:rPr>
                <w:color w:val="auto"/>
                <w:sz w:val="22"/>
                <w:szCs w:val="28"/>
              </w:rPr>
            </w:pPr>
          </w:p>
          <w:p w14:paraId="1F46E896" w14:textId="77777777" w:rsidR="0010478B" w:rsidRPr="00304ED2" w:rsidRDefault="0010478B" w:rsidP="00B80963">
            <w:pPr>
              <w:pStyle w:val="Tabletext"/>
              <w:rPr>
                <w:sz w:val="22"/>
                <w:szCs w:val="28"/>
              </w:rPr>
            </w:pPr>
            <w:r w:rsidRPr="00304ED2">
              <w:rPr>
                <w:color w:val="auto"/>
                <w:sz w:val="22"/>
                <w:szCs w:val="28"/>
              </w:rPr>
              <w:t>Where national law may differ from the requirements of PS2, it is expected that clients will comply with whichever requirements are the most stringent.</w:t>
            </w:r>
          </w:p>
        </w:tc>
      </w:tr>
    </w:tbl>
    <w:p w14:paraId="2FAF9BDD" w14:textId="77777777" w:rsidR="0010478B" w:rsidRDefault="0010478B" w:rsidP="0010478B"/>
    <w:p w14:paraId="7EFB29E6" w14:textId="77777777" w:rsidR="0010478B" w:rsidRDefault="0010478B" w:rsidP="0010478B">
      <w:r>
        <w:t xml:space="preserve">The purpose of HR policies is to establish clear rules, expectations and obligations relating to workforce management. What is included in an HR policy will ultimately depend on a series of factors, including your organisation’s geography (or geographies) of operation, workforce size, </w:t>
      </w:r>
      <w:proofErr w:type="gramStart"/>
      <w:r>
        <w:t>sector</w:t>
      </w:r>
      <w:proofErr w:type="gramEnd"/>
      <w:r>
        <w:t xml:space="preserve"> and operational context. However, irrespective of your company context, it is generally expected that HR policies and procedures address the following topics to be consistent with PS2 and good practice:</w:t>
      </w:r>
    </w:p>
    <w:tbl>
      <w:tblPr>
        <w:tblStyle w:val="TableGrid"/>
        <w:tblW w:w="0" w:type="auto"/>
        <w:tblCellMar>
          <w:bottom w:w="115" w:type="dxa"/>
        </w:tblCellMar>
        <w:tblLook w:val="04A0" w:firstRow="1" w:lastRow="0" w:firstColumn="1" w:lastColumn="0" w:noHBand="0" w:noVBand="1"/>
      </w:tblPr>
      <w:tblGrid>
        <w:gridCol w:w="4530"/>
        <w:gridCol w:w="4530"/>
      </w:tblGrid>
      <w:tr w:rsidR="0010478B" w14:paraId="39C47026" w14:textId="77777777" w:rsidTr="00B80963">
        <w:tc>
          <w:tcPr>
            <w:tcW w:w="4530" w:type="dxa"/>
          </w:tcPr>
          <w:p w14:paraId="04835ABD" w14:textId="77777777" w:rsidR="0010478B" w:rsidRPr="00C0182C" w:rsidRDefault="0010478B" w:rsidP="00B80963">
            <w:pPr>
              <w:jc w:val="center"/>
              <w:rPr>
                <w:b/>
                <w:bCs/>
              </w:rPr>
            </w:pPr>
            <w:r w:rsidRPr="00C0182C">
              <w:rPr>
                <w:b/>
                <w:bCs/>
              </w:rPr>
              <w:t>PS2 requirements</w:t>
            </w:r>
          </w:p>
        </w:tc>
        <w:tc>
          <w:tcPr>
            <w:tcW w:w="4530" w:type="dxa"/>
          </w:tcPr>
          <w:p w14:paraId="3E3CB3A4" w14:textId="77777777" w:rsidR="0010478B" w:rsidRPr="00C0182C" w:rsidRDefault="0010478B" w:rsidP="00B80963">
            <w:pPr>
              <w:jc w:val="center"/>
              <w:rPr>
                <w:b/>
                <w:bCs/>
              </w:rPr>
            </w:pPr>
            <w:r w:rsidRPr="00C0182C">
              <w:rPr>
                <w:b/>
                <w:bCs/>
              </w:rPr>
              <w:t>Good practice considerations</w:t>
            </w:r>
          </w:p>
        </w:tc>
      </w:tr>
      <w:tr w:rsidR="0010478B" w14:paraId="09773A2E" w14:textId="77777777" w:rsidTr="00B80963">
        <w:tc>
          <w:tcPr>
            <w:tcW w:w="4530" w:type="dxa"/>
          </w:tcPr>
          <w:p w14:paraId="400F25EA" w14:textId="77777777" w:rsidR="0010478B" w:rsidRPr="00304ED2" w:rsidRDefault="0010478B" w:rsidP="0010478B">
            <w:pPr>
              <w:pStyle w:val="Tabletext"/>
              <w:numPr>
                <w:ilvl w:val="0"/>
                <w:numId w:val="32"/>
              </w:numPr>
              <w:rPr>
                <w:color w:val="auto"/>
                <w:sz w:val="22"/>
              </w:rPr>
            </w:pPr>
            <w:r w:rsidRPr="00304ED2">
              <w:rPr>
                <w:color w:val="auto"/>
                <w:sz w:val="22"/>
              </w:rPr>
              <w:t>Working conditions and terms of employment (including wages, benefits, working hours, overtime, rest, leave)</w:t>
            </w:r>
          </w:p>
          <w:p w14:paraId="202E601F" w14:textId="77777777" w:rsidR="0010478B" w:rsidRPr="00304ED2" w:rsidRDefault="0010478B" w:rsidP="0010478B">
            <w:pPr>
              <w:pStyle w:val="Tabletext"/>
              <w:numPr>
                <w:ilvl w:val="0"/>
                <w:numId w:val="32"/>
              </w:numPr>
              <w:rPr>
                <w:color w:val="auto"/>
                <w:sz w:val="22"/>
              </w:rPr>
            </w:pPr>
            <w:r w:rsidRPr="00304ED2">
              <w:rPr>
                <w:color w:val="auto"/>
                <w:sz w:val="22"/>
              </w:rPr>
              <w:t>Workers’ organisations / Freedom of Association</w:t>
            </w:r>
          </w:p>
          <w:p w14:paraId="2E2A3E22" w14:textId="77777777" w:rsidR="0010478B" w:rsidRPr="00304ED2" w:rsidRDefault="0010478B" w:rsidP="0010478B">
            <w:pPr>
              <w:pStyle w:val="Tabletext"/>
              <w:numPr>
                <w:ilvl w:val="0"/>
                <w:numId w:val="32"/>
              </w:numPr>
              <w:rPr>
                <w:color w:val="auto"/>
                <w:sz w:val="22"/>
              </w:rPr>
            </w:pPr>
            <w:r w:rsidRPr="00304ED2">
              <w:rPr>
                <w:color w:val="auto"/>
                <w:sz w:val="22"/>
              </w:rPr>
              <w:t>Non-discrimination and equal opportunity</w:t>
            </w:r>
          </w:p>
          <w:p w14:paraId="259E7306" w14:textId="77777777" w:rsidR="0010478B" w:rsidRPr="00304ED2" w:rsidRDefault="0010478B" w:rsidP="0010478B">
            <w:pPr>
              <w:pStyle w:val="Tabletext"/>
              <w:numPr>
                <w:ilvl w:val="0"/>
                <w:numId w:val="32"/>
              </w:numPr>
              <w:rPr>
                <w:color w:val="auto"/>
                <w:sz w:val="22"/>
              </w:rPr>
            </w:pPr>
            <w:r w:rsidRPr="00304ED2">
              <w:rPr>
                <w:color w:val="auto"/>
                <w:sz w:val="22"/>
              </w:rPr>
              <w:t>Gender-based violence and harassment*</w:t>
            </w:r>
          </w:p>
          <w:p w14:paraId="4AAF6A65" w14:textId="77777777" w:rsidR="0010478B" w:rsidRPr="00304ED2" w:rsidRDefault="0010478B" w:rsidP="0010478B">
            <w:pPr>
              <w:pStyle w:val="Tabletext"/>
              <w:numPr>
                <w:ilvl w:val="0"/>
                <w:numId w:val="32"/>
              </w:numPr>
              <w:rPr>
                <w:color w:val="auto"/>
                <w:sz w:val="22"/>
              </w:rPr>
            </w:pPr>
            <w:r w:rsidRPr="00304ED2">
              <w:rPr>
                <w:color w:val="auto"/>
                <w:sz w:val="22"/>
              </w:rPr>
              <w:t>Retrenchment / collective dismissal</w:t>
            </w:r>
          </w:p>
          <w:p w14:paraId="46918DE4" w14:textId="77777777" w:rsidR="0010478B" w:rsidRPr="00304ED2" w:rsidRDefault="0010478B" w:rsidP="0010478B">
            <w:pPr>
              <w:pStyle w:val="Tabletext"/>
              <w:numPr>
                <w:ilvl w:val="0"/>
                <w:numId w:val="32"/>
              </w:numPr>
              <w:rPr>
                <w:color w:val="auto"/>
                <w:sz w:val="22"/>
              </w:rPr>
            </w:pPr>
            <w:r w:rsidRPr="00304ED2">
              <w:rPr>
                <w:color w:val="auto"/>
                <w:sz w:val="22"/>
              </w:rPr>
              <w:t>Grievance mechanisms</w:t>
            </w:r>
          </w:p>
          <w:p w14:paraId="58FD3E91" w14:textId="77777777" w:rsidR="0010478B" w:rsidRPr="00304ED2" w:rsidRDefault="0010478B" w:rsidP="0010478B">
            <w:pPr>
              <w:pStyle w:val="Tabletext"/>
              <w:numPr>
                <w:ilvl w:val="0"/>
                <w:numId w:val="32"/>
              </w:numPr>
              <w:rPr>
                <w:color w:val="auto"/>
                <w:sz w:val="22"/>
              </w:rPr>
            </w:pPr>
            <w:r w:rsidRPr="00304ED2">
              <w:rPr>
                <w:color w:val="auto"/>
                <w:sz w:val="22"/>
              </w:rPr>
              <w:t>Child labour</w:t>
            </w:r>
          </w:p>
          <w:p w14:paraId="0656193F" w14:textId="77777777" w:rsidR="0010478B" w:rsidRPr="00304ED2" w:rsidRDefault="0010478B" w:rsidP="0010478B">
            <w:pPr>
              <w:pStyle w:val="Tabletext"/>
              <w:numPr>
                <w:ilvl w:val="0"/>
                <w:numId w:val="32"/>
              </w:numPr>
              <w:rPr>
                <w:color w:val="auto"/>
                <w:sz w:val="22"/>
              </w:rPr>
            </w:pPr>
            <w:r w:rsidRPr="00304ED2">
              <w:rPr>
                <w:color w:val="auto"/>
                <w:sz w:val="22"/>
              </w:rPr>
              <w:t xml:space="preserve">Forced </w:t>
            </w:r>
            <w:proofErr w:type="gramStart"/>
            <w:r w:rsidRPr="00304ED2">
              <w:rPr>
                <w:color w:val="auto"/>
                <w:sz w:val="22"/>
              </w:rPr>
              <w:t>labour</w:t>
            </w:r>
            <w:proofErr w:type="gramEnd"/>
          </w:p>
          <w:p w14:paraId="30132DD3" w14:textId="77777777" w:rsidR="0010478B" w:rsidRPr="00304ED2" w:rsidRDefault="0010478B" w:rsidP="0010478B">
            <w:pPr>
              <w:pStyle w:val="Tabletext"/>
              <w:numPr>
                <w:ilvl w:val="0"/>
                <w:numId w:val="32"/>
              </w:numPr>
              <w:rPr>
                <w:color w:val="auto"/>
                <w:sz w:val="22"/>
              </w:rPr>
            </w:pPr>
            <w:r w:rsidRPr="00304ED2">
              <w:rPr>
                <w:color w:val="auto"/>
                <w:sz w:val="22"/>
              </w:rPr>
              <w:t xml:space="preserve">Occupational Health and Safety (in some cases, this may be addressed in </w:t>
            </w:r>
            <w:r w:rsidRPr="00304ED2">
              <w:rPr>
                <w:color w:val="auto"/>
                <w:sz w:val="22"/>
              </w:rPr>
              <w:lastRenderedPageBreak/>
              <w:t>a company ESMS)</w:t>
            </w:r>
          </w:p>
          <w:p w14:paraId="6AD1CA5F" w14:textId="77777777" w:rsidR="0010478B" w:rsidRPr="00304ED2" w:rsidRDefault="0010478B" w:rsidP="0010478B">
            <w:pPr>
              <w:pStyle w:val="Tabletext"/>
              <w:numPr>
                <w:ilvl w:val="0"/>
                <w:numId w:val="32"/>
              </w:numPr>
              <w:rPr>
                <w:color w:val="auto"/>
                <w:sz w:val="22"/>
              </w:rPr>
            </w:pPr>
            <w:r w:rsidRPr="00304ED2">
              <w:rPr>
                <w:color w:val="auto"/>
                <w:sz w:val="22"/>
              </w:rPr>
              <w:t>Workers engaged by third parties**</w:t>
            </w:r>
          </w:p>
        </w:tc>
        <w:tc>
          <w:tcPr>
            <w:tcW w:w="4530" w:type="dxa"/>
          </w:tcPr>
          <w:p w14:paraId="0D4D8CBC" w14:textId="77777777" w:rsidR="0010478B" w:rsidRPr="00304ED2" w:rsidRDefault="0010478B" w:rsidP="0010478B">
            <w:pPr>
              <w:pStyle w:val="Tabletext"/>
              <w:numPr>
                <w:ilvl w:val="0"/>
                <w:numId w:val="31"/>
              </w:numPr>
              <w:rPr>
                <w:color w:val="auto"/>
                <w:sz w:val="22"/>
                <w:lang w:val="it-IT"/>
              </w:rPr>
            </w:pPr>
            <w:r w:rsidRPr="00304ED2">
              <w:rPr>
                <w:color w:val="auto"/>
                <w:sz w:val="22"/>
                <w:lang w:val="it-IT"/>
              </w:rPr>
              <w:lastRenderedPageBreak/>
              <w:t>Discipline, dismissal, and performance management</w:t>
            </w:r>
          </w:p>
          <w:p w14:paraId="731CC343" w14:textId="77777777" w:rsidR="0010478B" w:rsidRPr="00304ED2" w:rsidRDefault="0010478B" w:rsidP="0010478B">
            <w:pPr>
              <w:pStyle w:val="Tabletext"/>
              <w:numPr>
                <w:ilvl w:val="0"/>
                <w:numId w:val="31"/>
              </w:numPr>
              <w:rPr>
                <w:color w:val="auto"/>
                <w:sz w:val="22"/>
              </w:rPr>
            </w:pPr>
            <w:r w:rsidRPr="00304ED2">
              <w:rPr>
                <w:color w:val="auto"/>
                <w:sz w:val="22"/>
              </w:rPr>
              <w:t>Privacy / personnel data</w:t>
            </w:r>
          </w:p>
          <w:p w14:paraId="317BDFAC" w14:textId="77777777" w:rsidR="0010478B" w:rsidRPr="00304ED2" w:rsidRDefault="0010478B" w:rsidP="0010478B">
            <w:pPr>
              <w:pStyle w:val="Tabletext"/>
              <w:numPr>
                <w:ilvl w:val="0"/>
                <w:numId w:val="31"/>
              </w:numPr>
              <w:rPr>
                <w:color w:val="auto"/>
                <w:sz w:val="22"/>
              </w:rPr>
            </w:pPr>
            <w:r w:rsidRPr="00304ED2">
              <w:rPr>
                <w:color w:val="auto"/>
                <w:sz w:val="22"/>
              </w:rPr>
              <w:t xml:space="preserve">Leave, holiday, and sickness </w:t>
            </w:r>
            <w:proofErr w:type="gramStart"/>
            <w:r w:rsidRPr="00304ED2">
              <w:rPr>
                <w:color w:val="auto"/>
                <w:sz w:val="22"/>
              </w:rPr>
              <w:t>entitlements</w:t>
            </w:r>
            <w:proofErr w:type="gramEnd"/>
          </w:p>
          <w:p w14:paraId="7840868C" w14:textId="77777777" w:rsidR="0010478B" w:rsidRPr="00304ED2" w:rsidRDefault="0010478B" w:rsidP="0010478B">
            <w:pPr>
              <w:pStyle w:val="Tabletext"/>
              <w:numPr>
                <w:ilvl w:val="0"/>
                <w:numId w:val="31"/>
              </w:numPr>
              <w:rPr>
                <w:color w:val="auto"/>
                <w:sz w:val="22"/>
              </w:rPr>
            </w:pPr>
            <w:r w:rsidRPr="00304ED2">
              <w:rPr>
                <w:color w:val="auto"/>
                <w:sz w:val="22"/>
              </w:rPr>
              <w:t xml:space="preserve">Insurance, entitlements, and other benefits </w:t>
            </w:r>
          </w:p>
          <w:p w14:paraId="5E76AA7C" w14:textId="77777777" w:rsidR="0010478B" w:rsidRPr="00304ED2" w:rsidRDefault="0010478B" w:rsidP="00B80963">
            <w:pPr>
              <w:pStyle w:val="Tabletext"/>
              <w:ind w:left="720"/>
              <w:rPr>
                <w:color w:val="auto"/>
                <w:sz w:val="22"/>
              </w:rPr>
            </w:pPr>
          </w:p>
        </w:tc>
      </w:tr>
    </w:tbl>
    <w:p w14:paraId="3DFFB61A" w14:textId="77777777" w:rsidR="0010478B" w:rsidRDefault="0010478B" w:rsidP="0010478B"/>
    <w:p w14:paraId="15F9D08D" w14:textId="77777777" w:rsidR="0010478B" w:rsidRPr="005715E1" w:rsidRDefault="0010478B" w:rsidP="0010478B">
      <w:pPr>
        <w:jc w:val="right"/>
        <w:rPr>
          <w:sz w:val="16"/>
          <w:szCs w:val="18"/>
        </w:rPr>
      </w:pPr>
      <w:r w:rsidRPr="005715E1">
        <w:rPr>
          <w:sz w:val="16"/>
          <w:szCs w:val="18"/>
        </w:rPr>
        <w:t>* See separate GBVH policy template</w:t>
      </w:r>
    </w:p>
    <w:p w14:paraId="2BC2612E" w14:textId="77777777" w:rsidR="0010478B" w:rsidRPr="000A3F92" w:rsidRDefault="0010478B" w:rsidP="0010478B">
      <w:pPr>
        <w:jc w:val="right"/>
        <w:rPr>
          <w:sz w:val="16"/>
          <w:szCs w:val="18"/>
        </w:rPr>
      </w:pPr>
      <w:r w:rsidRPr="000A3F92">
        <w:rPr>
          <w:sz w:val="16"/>
          <w:szCs w:val="18"/>
        </w:rPr>
        <w:t>*</w:t>
      </w:r>
      <w:r w:rsidRPr="005715E1">
        <w:rPr>
          <w:sz w:val="16"/>
          <w:szCs w:val="18"/>
        </w:rPr>
        <w:t>*</w:t>
      </w:r>
      <w:r w:rsidRPr="000A3F92">
        <w:rPr>
          <w:sz w:val="16"/>
          <w:szCs w:val="18"/>
        </w:rPr>
        <w:t xml:space="preserve"> See separate ‘Contractor Code of Conduct’ template</w:t>
      </w:r>
    </w:p>
    <w:p w14:paraId="41897D42" w14:textId="77777777" w:rsidR="009814BB" w:rsidRDefault="009814BB" w:rsidP="0010478B"/>
    <w:p w14:paraId="5B16DEC7" w14:textId="255ED120" w:rsidR="0010478B" w:rsidRDefault="0010478B" w:rsidP="0010478B">
      <w:r>
        <w:t xml:space="preserve">The following template provides a way to address PS2 requirements, which should be viewed as a minimum requirement to meet </w:t>
      </w:r>
      <w:proofErr w:type="gramStart"/>
      <w:r>
        <w:t>in order to</w:t>
      </w:r>
      <w:proofErr w:type="gramEnd"/>
      <w:r>
        <w:t xml:space="preserve"> align with international good practice. Provisions should be adapted and expanded based on your organisation’s context, </w:t>
      </w:r>
      <w:proofErr w:type="gramStart"/>
      <w:r>
        <w:t>maturity</w:t>
      </w:r>
      <w:proofErr w:type="gramEnd"/>
      <w:r>
        <w:t xml:space="preserve"> and HR capacity. For example, it may be appropriate to review your organisation’s HR management system and capacity at each new funding round, when the business pivots or evolves, or when certain thresholds are reached (</w:t>
      </w:r>
      <w:proofErr w:type="gramStart"/>
      <w:r>
        <w:t>e.g.</w:t>
      </w:r>
      <w:proofErr w:type="gramEnd"/>
      <w:r>
        <w:t xml:space="preserve"> size of the workforce, new market entry etc). In addition to this template, you can use </w:t>
      </w:r>
      <w:hyperlink r:id="rId11" w:history="1">
        <w:r w:rsidRPr="0081036F">
          <w:rPr>
            <w:rStyle w:val="Hyperlink"/>
          </w:rPr>
          <w:t>BII’s Human Resources Management Assessment Tool</w:t>
        </w:r>
      </w:hyperlink>
      <w:r>
        <w:t xml:space="preserve"> to better understand how HR management systems and structures can evolve and develop over time.   </w:t>
      </w:r>
    </w:p>
    <w:p w14:paraId="0DEC5841" w14:textId="77777777" w:rsidR="009814BB" w:rsidRPr="00237EF0" w:rsidRDefault="009814BB" w:rsidP="0010478B"/>
    <w:tbl>
      <w:tblPr>
        <w:tblStyle w:val="TableGrid"/>
        <w:tblW w:w="0" w:type="auto"/>
        <w:tblLook w:val="04A0" w:firstRow="1" w:lastRow="0" w:firstColumn="1" w:lastColumn="0" w:noHBand="0" w:noVBand="1"/>
      </w:tblPr>
      <w:tblGrid>
        <w:gridCol w:w="9060"/>
      </w:tblGrid>
      <w:tr w:rsidR="0010478B" w14:paraId="582B5191" w14:textId="77777777" w:rsidTr="001C495A">
        <w:trPr>
          <w:trHeight w:val="284"/>
        </w:trPr>
        <w:tc>
          <w:tcPr>
            <w:tcW w:w="9060" w:type="dxa"/>
          </w:tcPr>
          <w:p w14:paraId="176D538F" w14:textId="77777777" w:rsidR="0010478B" w:rsidRPr="00915FB9" w:rsidRDefault="0010478B" w:rsidP="00B80963">
            <w:pPr>
              <w:pStyle w:val="Tabletitle"/>
              <w:rPr>
                <w:b/>
                <w:bCs/>
                <w:color w:val="auto"/>
                <w:sz w:val="22"/>
              </w:rPr>
            </w:pPr>
            <w:r w:rsidRPr="00915FB9">
              <w:rPr>
                <w:b/>
                <w:bCs/>
                <w:color w:val="auto"/>
                <w:sz w:val="22"/>
              </w:rPr>
              <w:t xml:space="preserve">Key considerations for HR policy drafting </w:t>
            </w:r>
          </w:p>
        </w:tc>
      </w:tr>
      <w:tr w:rsidR="0010478B" w14:paraId="6389CC4F" w14:textId="77777777" w:rsidTr="001C495A">
        <w:tc>
          <w:tcPr>
            <w:tcW w:w="9060" w:type="dxa"/>
          </w:tcPr>
          <w:p w14:paraId="10E4FF7F" w14:textId="77777777" w:rsidR="0010478B" w:rsidRPr="00304ED2" w:rsidRDefault="0010478B" w:rsidP="00B80963">
            <w:pPr>
              <w:pStyle w:val="Tabletext"/>
              <w:rPr>
                <w:color w:val="auto"/>
                <w:sz w:val="22"/>
              </w:rPr>
            </w:pPr>
            <w:r w:rsidRPr="00304ED2">
              <w:rPr>
                <w:color w:val="auto"/>
                <w:sz w:val="22"/>
              </w:rPr>
              <w:t>It is best practice to ensure that the HR policy is:</w:t>
            </w:r>
          </w:p>
          <w:p w14:paraId="3C2A5A1E" w14:textId="77777777" w:rsidR="0010478B" w:rsidRPr="00304ED2" w:rsidRDefault="0010478B" w:rsidP="0010478B">
            <w:pPr>
              <w:pStyle w:val="Tabletext"/>
              <w:numPr>
                <w:ilvl w:val="0"/>
                <w:numId w:val="30"/>
              </w:numPr>
              <w:rPr>
                <w:color w:val="auto"/>
                <w:sz w:val="22"/>
              </w:rPr>
            </w:pPr>
            <w:r w:rsidRPr="00304ED2">
              <w:rPr>
                <w:color w:val="auto"/>
                <w:sz w:val="22"/>
              </w:rPr>
              <w:t>Drafted by someone with HR or workforce management expertise, based on a solid understanding of national legal requirements.</w:t>
            </w:r>
          </w:p>
          <w:p w14:paraId="3FD00678" w14:textId="77777777" w:rsidR="0010478B" w:rsidRPr="00304ED2" w:rsidRDefault="0010478B" w:rsidP="0010478B">
            <w:pPr>
              <w:pStyle w:val="Tabletext"/>
              <w:numPr>
                <w:ilvl w:val="0"/>
                <w:numId w:val="30"/>
              </w:numPr>
              <w:rPr>
                <w:color w:val="auto"/>
                <w:sz w:val="22"/>
              </w:rPr>
            </w:pPr>
            <w:r w:rsidRPr="00304ED2">
              <w:rPr>
                <w:color w:val="auto"/>
                <w:sz w:val="22"/>
              </w:rPr>
              <w:t>In written form and in a language that is accessible to your workforce (with multiple translated versions, where necessary).</w:t>
            </w:r>
          </w:p>
          <w:p w14:paraId="2A94EDB5" w14:textId="77777777" w:rsidR="0010478B" w:rsidRPr="00304ED2" w:rsidRDefault="0010478B" w:rsidP="0010478B">
            <w:pPr>
              <w:pStyle w:val="Tabletext"/>
              <w:numPr>
                <w:ilvl w:val="0"/>
                <w:numId w:val="30"/>
              </w:numPr>
              <w:rPr>
                <w:color w:val="auto"/>
                <w:sz w:val="22"/>
              </w:rPr>
            </w:pPr>
            <w:r w:rsidRPr="00304ED2">
              <w:rPr>
                <w:color w:val="auto"/>
                <w:sz w:val="22"/>
              </w:rPr>
              <w:t xml:space="preserve">Easily available to workers in print and / or digitally, depending on your organisation. For example, in some gig or agent models, it may be appropriate to provide HR info via mobile apps. </w:t>
            </w:r>
          </w:p>
          <w:p w14:paraId="2E6FF081" w14:textId="77777777" w:rsidR="0010478B" w:rsidRPr="00304ED2" w:rsidRDefault="0010478B" w:rsidP="0010478B">
            <w:pPr>
              <w:pStyle w:val="Tabletext"/>
              <w:numPr>
                <w:ilvl w:val="0"/>
                <w:numId w:val="30"/>
              </w:numPr>
              <w:rPr>
                <w:color w:val="auto"/>
                <w:sz w:val="22"/>
              </w:rPr>
            </w:pPr>
            <w:r w:rsidRPr="00304ED2">
              <w:rPr>
                <w:color w:val="auto"/>
                <w:sz w:val="22"/>
              </w:rPr>
              <w:t xml:space="preserve">Communicated and explained to workers (including during key times, such as induction / onboarding) </w:t>
            </w:r>
          </w:p>
          <w:p w14:paraId="176A3DBD" w14:textId="77777777" w:rsidR="0010478B" w:rsidRPr="00304ED2" w:rsidRDefault="0010478B" w:rsidP="0010478B">
            <w:pPr>
              <w:pStyle w:val="Tabletext"/>
              <w:numPr>
                <w:ilvl w:val="0"/>
                <w:numId w:val="30"/>
              </w:numPr>
              <w:rPr>
                <w:color w:val="auto"/>
                <w:sz w:val="22"/>
              </w:rPr>
            </w:pPr>
            <w:r w:rsidRPr="00304ED2">
              <w:rPr>
                <w:color w:val="auto"/>
                <w:sz w:val="22"/>
              </w:rPr>
              <w:t xml:space="preserve">Subject to ongoing review and revision, </w:t>
            </w:r>
            <w:proofErr w:type="gramStart"/>
            <w:r w:rsidRPr="00304ED2">
              <w:rPr>
                <w:color w:val="auto"/>
                <w:sz w:val="22"/>
              </w:rPr>
              <w:t>in light of</w:t>
            </w:r>
            <w:proofErr w:type="gramEnd"/>
            <w:r w:rsidRPr="00304ED2">
              <w:rPr>
                <w:color w:val="auto"/>
                <w:sz w:val="22"/>
              </w:rPr>
              <w:t xml:space="preserve"> changing requirements.</w:t>
            </w:r>
          </w:p>
          <w:p w14:paraId="61CF29F7" w14:textId="77777777" w:rsidR="0010478B" w:rsidRPr="00304ED2" w:rsidRDefault="0010478B" w:rsidP="0010478B">
            <w:pPr>
              <w:pStyle w:val="Tabletext"/>
              <w:numPr>
                <w:ilvl w:val="0"/>
                <w:numId w:val="30"/>
              </w:numPr>
              <w:rPr>
                <w:sz w:val="22"/>
              </w:rPr>
            </w:pPr>
            <w:r w:rsidRPr="00304ED2">
              <w:rPr>
                <w:color w:val="auto"/>
                <w:sz w:val="22"/>
              </w:rPr>
              <w:t>Based on internal consultation with workers and their representatives, if applicable.</w:t>
            </w:r>
          </w:p>
        </w:tc>
      </w:tr>
    </w:tbl>
    <w:p w14:paraId="386FDBE6" w14:textId="77777777" w:rsidR="0010478B" w:rsidRDefault="0010478B" w:rsidP="0010478B"/>
    <w:p w14:paraId="3653E14B" w14:textId="77777777" w:rsidR="0010478B" w:rsidRDefault="0010478B" w:rsidP="0010478B">
      <w:pPr>
        <w:spacing w:after="160" w:line="259" w:lineRule="auto"/>
      </w:pPr>
      <w:r>
        <w:br w:type="page"/>
      </w:r>
    </w:p>
    <w:p w14:paraId="4AF6D2D0" w14:textId="77777777" w:rsidR="0010478B" w:rsidRDefault="0010478B" w:rsidP="0010478B">
      <w:pPr>
        <w:pStyle w:val="Heading1"/>
      </w:pPr>
      <w:r>
        <w:lastRenderedPageBreak/>
        <w:t>HR policy template</w:t>
      </w:r>
    </w:p>
    <w:tbl>
      <w:tblPr>
        <w:tblStyle w:val="TableGrid"/>
        <w:tblW w:w="0" w:type="auto"/>
        <w:tblLook w:val="04A0" w:firstRow="1" w:lastRow="0" w:firstColumn="1" w:lastColumn="0" w:noHBand="0" w:noVBand="1"/>
      </w:tblPr>
      <w:tblGrid>
        <w:gridCol w:w="2082"/>
        <w:gridCol w:w="3321"/>
      </w:tblGrid>
      <w:tr w:rsidR="0010478B" w14:paraId="40C13C95" w14:textId="77777777" w:rsidTr="00B80963">
        <w:tc>
          <w:tcPr>
            <w:tcW w:w="0" w:type="auto"/>
          </w:tcPr>
          <w:p w14:paraId="7A0243DC" w14:textId="77777777" w:rsidR="0010478B" w:rsidRDefault="0010478B" w:rsidP="00B80963">
            <w:r>
              <w:t>Policy date</w:t>
            </w:r>
          </w:p>
        </w:tc>
        <w:tc>
          <w:tcPr>
            <w:tcW w:w="3321" w:type="dxa"/>
          </w:tcPr>
          <w:p w14:paraId="43F24802" w14:textId="77777777" w:rsidR="0010478B" w:rsidRDefault="0010478B" w:rsidP="00B80963"/>
        </w:tc>
      </w:tr>
      <w:tr w:rsidR="0010478B" w14:paraId="154CDBC5" w14:textId="77777777" w:rsidTr="00B80963">
        <w:tc>
          <w:tcPr>
            <w:tcW w:w="0" w:type="auto"/>
          </w:tcPr>
          <w:p w14:paraId="503E0163" w14:textId="77777777" w:rsidR="0010478B" w:rsidRDefault="0010478B" w:rsidP="00B80963">
            <w:r>
              <w:t>Date of last revision</w:t>
            </w:r>
          </w:p>
        </w:tc>
        <w:tc>
          <w:tcPr>
            <w:tcW w:w="3321" w:type="dxa"/>
          </w:tcPr>
          <w:p w14:paraId="75C803F6" w14:textId="77777777" w:rsidR="0010478B" w:rsidRDefault="0010478B" w:rsidP="00B80963"/>
        </w:tc>
      </w:tr>
      <w:tr w:rsidR="0010478B" w14:paraId="086A5F57" w14:textId="77777777" w:rsidTr="00B80963">
        <w:tc>
          <w:tcPr>
            <w:tcW w:w="0" w:type="auto"/>
          </w:tcPr>
          <w:p w14:paraId="4097E185" w14:textId="77777777" w:rsidR="0010478B" w:rsidRDefault="0010478B" w:rsidP="00B80963">
            <w:r>
              <w:t>Policy owner</w:t>
            </w:r>
          </w:p>
        </w:tc>
        <w:tc>
          <w:tcPr>
            <w:tcW w:w="3321" w:type="dxa"/>
          </w:tcPr>
          <w:p w14:paraId="1DB373B3" w14:textId="77777777" w:rsidR="0010478B" w:rsidRDefault="0010478B" w:rsidP="00B80963">
            <w:r>
              <w:t>[</w:t>
            </w:r>
            <w:r w:rsidRPr="000A3F92">
              <w:rPr>
                <w:highlight w:val="yellow"/>
              </w:rPr>
              <w:t>DEPARTMENT OR INDIVIDUAL</w:t>
            </w:r>
            <w:r>
              <w:t>]</w:t>
            </w:r>
          </w:p>
        </w:tc>
      </w:tr>
    </w:tbl>
    <w:p w14:paraId="73D840C1" w14:textId="77777777" w:rsidR="0010478B" w:rsidRPr="00292C77" w:rsidRDefault="0010478B" w:rsidP="0010478B"/>
    <w:p w14:paraId="4A391623" w14:textId="77777777" w:rsidR="0010478B" w:rsidRPr="00F24F0D" w:rsidRDefault="0010478B" w:rsidP="0010478B">
      <w:pPr>
        <w:pStyle w:val="Heading2"/>
      </w:pPr>
      <w:r w:rsidRPr="00F24F0D">
        <w:t>Purpose and scope</w:t>
      </w:r>
    </w:p>
    <w:p w14:paraId="0B131775" w14:textId="77777777" w:rsidR="0010478B" w:rsidRDefault="0010478B" w:rsidP="0010478B">
      <w:r>
        <w:t>This Human Resources (HR) Policy outlines [</w:t>
      </w:r>
      <w:r w:rsidRPr="000A3F92">
        <w:rPr>
          <w:highlight w:val="yellow"/>
        </w:rPr>
        <w:t>ORGANI</w:t>
      </w:r>
      <w:r>
        <w:rPr>
          <w:highlight w:val="yellow"/>
        </w:rPr>
        <w:t>S</w:t>
      </w:r>
      <w:r w:rsidRPr="000A3F92">
        <w:rPr>
          <w:highlight w:val="yellow"/>
        </w:rPr>
        <w:t>ATION’S</w:t>
      </w:r>
      <w:r>
        <w:t xml:space="preserve">] approach to people management. It sets clear expectations on roles and </w:t>
      </w:r>
      <w:proofErr w:type="gramStart"/>
      <w:r>
        <w:t>responsibilities, and</w:t>
      </w:r>
      <w:proofErr w:type="gramEnd"/>
      <w:r>
        <w:t xml:space="preserve"> is applicable to all employees.</w:t>
      </w:r>
    </w:p>
    <w:p w14:paraId="5A24AD6C" w14:textId="77777777" w:rsidR="009814BB" w:rsidRDefault="009814BB" w:rsidP="0010478B">
      <w:pPr>
        <w:rPr>
          <w:highlight w:val="yellow"/>
        </w:rPr>
      </w:pPr>
    </w:p>
    <w:p w14:paraId="767795B4" w14:textId="3F02668B" w:rsidR="0010478B" w:rsidRDefault="0010478B" w:rsidP="0010478B">
      <w:r w:rsidRPr="003E73EC">
        <w:rPr>
          <w:highlight w:val="yellow"/>
        </w:rPr>
        <w:t xml:space="preserve">[INSERT MISSION </w:t>
      </w:r>
      <w:r>
        <w:rPr>
          <w:highlight w:val="yellow"/>
        </w:rPr>
        <w:t>OR VISION STATEMENT</w:t>
      </w:r>
      <w:r w:rsidRPr="003E73EC">
        <w:rPr>
          <w:highlight w:val="yellow"/>
        </w:rPr>
        <w:t xml:space="preserve"> IF RELEVANT]</w:t>
      </w:r>
    </w:p>
    <w:p w14:paraId="35259A28" w14:textId="77777777" w:rsidR="009814BB" w:rsidRDefault="009814BB" w:rsidP="0010478B"/>
    <w:p w14:paraId="64B70F0D" w14:textId="4C1DFAA6" w:rsidR="0010478B" w:rsidRDefault="0010478B" w:rsidP="0010478B">
      <w:r>
        <w:t xml:space="preserve">Please review this policy and contact </w:t>
      </w:r>
      <w:r w:rsidRPr="00A1461B">
        <w:rPr>
          <w:highlight w:val="yellow"/>
        </w:rPr>
        <w:t>[INSERT HR CONTACT PERSON</w:t>
      </w:r>
      <w:r>
        <w:t xml:space="preserve">] if you have any questions or concerns. </w:t>
      </w:r>
    </w:p>
    <w:p w14:paraId="1ED1407B" w14:textId="77777777" w:rsidR="009814BB" w:rsidRDefault="009814BB" w:rsidP="0010478B">
      <w:pPr>
        <w:pStyle w:val="Heading2"/>
      </w:pPr>
    </w:p>
    <w:p w14:paraId="5DC95EE1" w14:textId="7E97C0ED" w:rsidR="0010478B" w:rsidRDefault="0010478B" w:rsidP="0010478B">
      <w:pPr>
        <w:pStyle w:val="Heading2"/>
      </w:pPr>
      <w:r>
        <w:t>Working Conditions and Terms of Employment</w:t>
      </w:r>
    </w:p>
    <w:p w14:paraId="05FBEDE9" w14:textId="77777777" w:rsidR="009814BB" w:rsidRDefault="009814BB" w:rsidP="0010478B"/>
    <w:p w14:paraId="1149D2EE" w14:textId="5CA3763D" w:rsidR="0010478B" w:rsidRPr="000A3F92" w:rsidRDefault="0010478B" w:rsidP="0010478B">
      <w:r w:rsidRPr="000A3F92">
        <w:t>Your</w:t>
      </w:r>
      <w:r>
        <w:t xml:space="preserve"> terms and conditions of employment are elaborated in this policy, as well as in your written contract of employment.</w:t>
      </w:r>
    </w:p>
    <w:p w14:paraId="582DAB3B" w14:textId="77777777" w:rsidR="0010478B" w:rsidRDefault="0010478B" w:rsidP="0010478B">
      <w:pPr>
        <w:rPr>
          <w:highlight w:val="yellow"/>
        </w:rPr>
      </w:pPr>
    </w:p>
    <w:p w14:paraId="6B0EEE2B" w14:textId="77777777" w:rsidR="0010478B" w:rsidRDefault="0010478B" w:rsidP="0010478B">
      <w:r>
        <w:rPr>
          <w:highlight w:val="yellow"/>
        </w:rPr>
        <w:t>[ORGANISATION</w:t>
      </w:r>
      <w:r w:rsidRPr="00D1033E">
        <w:rPr>
          <w:highlight w:val="yellow"/>
        </w:rPr>
        <w:t>]</w:t>
      </w:r>
      <w:r>
        <w:t xml:space="preserve"> provides wages, conditions of work (including working hours) and benefits that meet or exceed standards set by applicable national law. </w:t>
      </w:r>
    </w:p>
    <w:p w14:paraId="36D3CB80" w14:textId="77777777" w:rsidR="0010478B" w:rsidRDefault="0010478B" w:rsidP="0010478B"/>
    <w:p w14:paraId="7632CC48" w14:textId="77777777" w:rsidR="0010478B" w:rsidRDefault="0010478B" w:rsidP="0010478B">
      <w:r>
        <w:t>Wages and benefits are established according to [</w:t>
      </w:r>
      <w:r w:rsidRPr="000A3F92">
        <w:rPr>
          <w:highlight w:val="yellow"/>
        </w:rPr>
        <w:t xml:space="preserve">DESCRIBE, BASED ON THE </w:t>
      </w:r>
      <w:r w:rsidRPr="00504E89">
        <w:rPr>
          <w:highlight w:val="yellow"/>
        </w:rPr>
        <w:t>FOLLOWING</w:t>
      </w:r>
      <w:r w:rsidRPr="00217879">
        <w:rPr>
          <w:highlight w:val="yellow"/>
        </w:rPr>
        <w:t xml:space="preserve"> </w:t>
      </w:r>
      <w:r w:rsidRPr="00504E89">
        <w:rPr>
          <w:highlight w:val="yellow"/>
        </w:rPr>
        <w:t xml:space="preserve">AS </w:t>
      </w:r>
      <w:r w:rsidRPr="000A3F92">
        <w:rPr>
          <w:highlight w:val="yellow"/>
        </w:rPr>
        <w:t>APPLICABLE</w:t>
      </w:r>
      <w:r>
        <w:t>]:</w:t>
      </w:r>
    </w:p>
    <w:p w14:paraId="15D3DDBF"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0A3F92">
        <w:rPr>
          <w:highlight w:val="yellow"/>
        </w:rPr>
        <w:t>NATIONAL MINIMUM WAGE LEGISLATION</w:t>
      </w:r>
      <w:r>
        <w:t>]</w:t>
      </w:r>
    </w:p>
    <w:p w14:paraId="7BEE97F6"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0A3F92">
        <w:rPr>
          <w:highlight w:val="yellow"/>
        </w:rPr>
        <w:t>COLLECTIVE BARGAINING AGREEMENT</w:t>
      </w:r>
      <w:r>
        <w:t>]</w:t>
      </w:r>
    </w:p>
    <w:p w14:paraId="0B48C5AF"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217879">
        <w:rPr>
          <w:highlight w:val="yellow"/>
        </w:rPr>
        <w:t>INDIVIDUAL CONTRACTS /</w:t>
      </w:r>
      <w:r>
        <w:t xml:space="preserve"> </w:t>
      </w:r>
      <w:r w:rsidRPr="000A3F92">
        <w:rPr>
          <w:highlight w:val="yellow"/>
        </w:rPr>
        <w:t>INTERNAL PAY SCALE</w:t>
      </w:r>
      <w:r>
        <w:t>].</w:t>
      </w:r>
    </w:p>
    <w:p w14:paraId="01D4943C" w14:textId="77777777" w:rsidR="0010478B" w:rsidRDefault="0010478B" w:rsidP="0010478B"/>
    <w:tbl>
      <w:tblPr>
        <w:tblStyle w:val="TableGrid"/>
        <w:tblW w:w="0" w:type="auto"/>
        <w:tblCellMar>
          <w:top w:w="29" w:type="dxa"/>
          <w:bottom w:w="29" w:type="dxa"/>
        </w:tblCellMar>
        <w:tblLook w:val="04A0" w:firstRow="1" w:lastRow="0" w:firstColumn="1" w:lastColumn="0" w:noHBand="0" w:noVBand="1"/>
      </w:tblPr>
      <w:tblGrid>
        <w:gridCol w:w="10308"/>
      </w:tblGrid>
      <w:tr w:rsidR="0010478B" w14:paraId="6F130F31" w14:textId="77777777" w:rsidTr="00B80963">
        <w:trPr>
          <w:trHeight w:val="671"/>
        </w:trPr>
        <w:tc>
          <w:tcPr>
            <w:tcW w:w="0" w:type="auto"/>
            <w:tcBorders>
              <w:top w:val="single" w:sz="12" w:space="0" w:color="000000" w:themeColor="accent1"/>
              <w:left w:val="single" w:sz="12" w:space="0" w:color="000000" w:themeColor="accent1"/>
              <w:bottom w:val="single" w:sz="12" w:space="0" w:color="000000" w:themeColor="accent1"/>
              <w:right w:val="single" w:sz="12" w:space="0" w:color="000000" w:themeColor="accent1"/>
            </w:tcBorders>
          </w:tcPr>
          <w:p w14:paraId="5347641D" w14:textId="77777777" w:rsidR="0010478B" w:rsidRPr="00D219FE" w:rsidRDefault="0010478B" w:rsidP="00B80963">
            <w:pPr>
              <w:pStyle w:val="Tabletext"/>
              <w:rPr>
                <w:rFonts w:asciiTheme="majorHAnsi" w:hAnsiTheme="majorHAnsi" w:cs="Calibri"/>
                <w:color w:val="auto"/>
                <w:sz w:val="22"/>
              </w:rPr>
            </w:pPr>
            <w:r w:rsidRPr="00D219FE">
              <w:rPr>
                <w:rStyle w:val="NormalBold"/>
                <w:rFonts w:asciiTheme="majorHAnsi" w:hAnsiTheme="majorHAnsi" w:cs="Calibri"/>
                <w:color w:val="auto"/>
                <w:sz w:val="22"/>
              </w:rPr>
              <w:t>Note:</w:t>
            </w:r>
            <w:r w:rsidRPr="00D219FE">
              <w:rPr>
                <w:rFonts w:asciiTheme="majorHAnsi" w:hAnsiTheme="majorHAnsi" w:cs="Calibri"/>
                <w:color w:val="auto"/>
                <w:sz w:val="22"/>
              </w:rPr>
              <w:t xml:space="preserve"> Basic wages and benefits may be set with reference to a range of sources, including:</w:t>
            </w:r>
          </w:p>
          <w:p w14:paraId="74D88DB7" w14:textId="77777777" w:rsidR="0010478B" w:rsidRPr="00D219FE" w:rsidRDefault="0010478B" w:rsidP="0010478B">
            <w:pPr>
              <w:pStyle w:val="Tabletext"/>
              <w:numPr>
                <w:ilvl w:val="0"/>
                <w:numId w:val="33"/>
              </w:numPr>
              <w:rPr>
                <w:rFonts w:asciiTheme="majorHAnsi" w:hAnsiTheme="majorHAnsi" w:cs="Calibri"/>
                <w:color w:val="auto"/>
                <w:sz w:val="22"/>
              </w:rPr>
            </w:pPr>
            <w:r w:rsidRPr="00D219FE">
              <w:rPr>
                <w:rStyle w:val="NormalBold"/>
                <w:rFonts w:asciiTheme="majorHAnsi" w:hAnsiTheme="majorHAnsi" w:cs="Calibri"/>
                <w:color w:val="auto"/>
                <w:sz w:val="22"/>
              </w:rPr>
              <w:t>National minimum wage laws</w:t>
            </w:r>
            <w:r w:rsidRPr="00D219FE">
              <w:rPr>
                <w:rFonts w:asciiTheme="majorHAnsi" w:hAnsiTheme="majorHAnsi" w:cs="Calibri"/>
                <w:color w:val="auto"/>
                <w:sz w:val="22"/>
              </w:rPr>
              <w:t xml:space="preserve">: Minimum remuneration that can be paid to wage earners, as established by national laws, </w:t>
            </w:r>
            <w:proofErr w:type="gramStart"/>
            <w:r w:rsidRPr="00D219FE">
              <w:rPr>
                <w:rFonts w:asciiTheme="majorHAnsi" w:hAnsiTheme="majorHAnsi" w:cs="Calibri"/>
                <w:color w:val="auto"/>
                <w:sz w:val="22"/>
              </w:rPr>
              <w:t>regulations</w:t>
            </w:r>
            <w:proofErr w:type="gramEnd"/>
            <w:r w:rsidRPr="00D219FE">
              <w:rPr>
                <w:rFonts w:asciiTheme="majorHAnsi" w:hAnsiTheme="majorHAnsi" w:cs="Calibri"/>
                <w:color w:val="auto"/>
                <w:sz w:val="22"/>
              </w:rPr>
              <w:t xml:space="preserve"> or other decision-making authorities.</w:t>
            </w:r>
          </w:p>
          <w:p w14:paraId="32C1ACE1" w14:textId="77777777" w:rsidR="0010478B" w:rsidRPr="00D219FE" w:rsidRDefault="0010478B" w:rsidP="0010478B">
            <w:pPr>
              <w:pStyle w:val="Tabletext"/>
              <w:numPr>
                <w:ilvl w:val="0"/>
                <w:numId w:val="33"/>
              </w:numPr>
              <w:rPr>
                <w:rFonts w:asciiTheme="majorHAnsi" w:hAnsiTheme="majorHAnsi" w:cs="Calibri"/>
                <w:color w:val="auto"/>
                <w:sz w:val="22"/>
              </w:rPr>
            </w:pPr>
            <w:r w:rsidRPr="00D219FE">
              <w:rPr>
                <w:rStyle w:val="NormalBold"/>
                <w:rFonts w:asciiTheme="majorHAnsi" w:hAnsiTheme="majorHAnsi" w:cs="Calibri"/>
                <w:color w:val="auto"/>
                <w:sz w:val="22"/>
              </w:rPr>
              <w:t>Collective bargaining agreement</w:t>
            </w:r>
            <w:r w:rsidRPr="00D219FE">
              <w:rPr>
                <w:rFonts w:asciiTheme="majorHAnsi" w:hAnsiTheme="majorHAnsi" w:cs="Calibri"/>
                <w:color w:val="auto"/>
                <w:sz w:val="22"/>
              </w:rPr>
              <w:t xml:space="preserve">: An agreement reached through negotiation between an employer(s) and workers’ organisation(s) which, among other things, seeks to define minimum working conditions and terms of employment. </w:t>
            </w:r>
          </w:p>
          <w:p w14:paraId="4B11EFE8" w14:textId="77777777" w:rsidR="0010478B" w:rsidRPr="00D219FE" w:rsidRDefault="0010478B" w:rsidP="0010478B">
            <w:pPr>
              <w:pStyle w:val="Tabletext"/>
              <w:numPr>
                <w:ilvl w:val="0"/>
                <w:numId w:val="33"/>
              </w:numPr>
              <w:rPr>
                <w:rFonts w:asciiTheme="majorHAnsi" w:hAnsiTheme="majorHAnsi" w:cs="Calibri"/>
                <w:color w:val="auto"/>
                <w:sz w:val="22"/>
              </w:rPr>
            </w:pPr>
            <w:r w:rsidRPr="00D219FE">
              <w:rPr>
                <w:rStyle w:val="NormalBold"/>
                <w:rFonts w:asciiTheme="majorHAnsi" w:hAnsiTheme="majorHAnsi" w:cs="Calibri"/>
                <w:color w:val="auto"/>
                <w:sz w:val="22"/>
              </w:rPr>
              <w:t>Internal pay scale</w:t>
            </w:r>
            <w:r w:rsidRPr="00D219FE">
              <w:rPr>
                <w:rFonts w:asciiTheme="majorHAnsi" w:hAnsiTheme="majorHAnsi" w:cs="Calibri"/>
                <w:color w:val="auto"/>
                <w:sz w:val="22"/>
              </w:rPr>
              <w:t xml:space="preserve">: Typically entails a system which defines the range of salaries paid to different job classifications, accounting for responsibility, seniority, </w:t>
            </w:r>
            <w:proofErr w:type="gramStart"/>
            <w:r w:rsidRPr="00D219FE">
              <w:rPr>
                <w:rFonts w:asciiTheme="majorHAnsi" w:hAnsiTheme="majorHAnsi" w:cs="Calibri"/>
                <w:color w:val="auto"/>
                <w:sz w:val="22"/>
              </w:rPr>
              <w:t>experience</w:t>
            </w:r>
            <w:proofErr w:type="gramEnd"/>
            <w:r w:rsidRPr="00D219FE">
              <w:rPr>
                <w:rFonts w:asciiTheme="majorHAnsi" w:hAnsiTheme="majorHAnsi" w:cs="Calibri"/>
                <w:color w:val="auto"/>
                <w:sz w:val="22"/>
              </w:rPr>
              <w:t xml:space="preserve"> and other relevant factors. </w:t>
            </w:r>
          </w:p>
          <w:p w14:paraId="0A2D6BA7" w14:textId="77777777" w:rsidR="0010478B" w:rsidRPr="00D219FE" w:rsidRDefault="0010478B" w:rsidP="00B80963">
            <w:pPr>
              <w:pStyle w:val="Tabletext"/>
              <w:rPr>
                <w:rFonts w:asciiTheme="majorHAnsi" w:hAnsiTheme="majorHAnsi" w:cs="Calibri"/>
                <w:color w:val="auto"/>
                <w:sz w:val="22"/>
              </w:rPr>
            </w:pPr>
          </w:p>
          <w:p w14:paraId="0B87AD61" w14:textId="77777777" w:rsidR="0010478B" w:rsidRPr="00D219FE" w:rsidRDefault="0010478B" w:rsidP="00B80963">
            <w:pPr>
              <w:pStyle w:val="Tabletext"/>
              <w:rPr>
                <w:rFonts w:asciiTheme="majorHAnsi" w:hAnsiTheme="majorHAnsi"/>
              </w:rPr>
            </w:pPr>
            <w:r w:rsidRPr="00D219FE">
              <w:rPr>
                <w:rFonts w:asciiTheme="majorHAnsi" w:hAnsiTheme="majorHAnsi" w:cs="Calibri"/>
                <w:color w:val="auto"/>
                <w:sz w:val="22"/>
              </w:rPr>
              <w:t xml:space="preserve">Your company may also have an additional range of benefits or allowances, including employee stock ownership plans, travel allowances, bonuses, danger pay etc. It is good practice to ensure that these </w:t>
            </w:r>
            <w:r w:rsidRPr="00D219FE">
              <w:rPr>
                <w:rFonts w:asciiTheme="majorHAnsi" w:hAnsiTheme="majorHAnsi" w:cs="Calibri"/>
                <w:color w:val="auto"/>
                <w:sz w:val="22"/>
              </w:rPr>
              <w:lastRenderedPageBreak/>
              <w:t>benefits are clearly described in contracts and policies, including key information such as when these benefits vest, how they can be claimed, and if they are subject to any limitations / restrictions.</w:t>
            </w:r>
            <w:r w:rsidRPr="00D219FE">
              <w:rPr>
                <w:rFonts w:asciiTheme="majorHAnsi" w:hAnsiTheme="majorHAnsi"/>
              </w:rPr>
              <w:t xml:space="preserve"> </w:t>
            </w:r>
          </w:p>
        </w:tc>
      </w:tr>
    </w:tbl>
    <w:p w14:paraId="493ACA67" w14:textId="77777777" w:rsidR="0010478B" w:rsidRDefault="0010478B" w:rsidP="0010478B"/>
    <w:p w14:paraId="6F73B824" w14:textId="77777777" w:rsidR="0010478B" w:rsidRDefault="0010478B" w:rsidP="0010478B"/>
    <w:p w14:paraId="456C3E68" w14:textId="77777777" w:rsidR="0010478B" w:rsidRDefault="0010478B" w:rsidP="0010478B">
      <w:r>
        <w:t>Consistent with [</w:t>
      </w:r>
      <w:r w:rsidRPr="000A3F92">
        <w:rPr>
          <w:highlight w:val="yellow"/>
        </w:rPr>
        <w:t>APPLICABLE LEGISLATION</w:t>
      </w:r>
      <w:r>
        <w:t xml:space="preserve"> </w:t>
      </w:r>
      <w:r w:rsidRPr="000A3F92">
        <w:rPr>
          <w:highlight w:val="yellow"/>
        </w:rPr>
        <w:t>/ COLLECTIVE AGREEMENT</w:t>
      </w:r>
      <w:r>
        <w:t>] standard working hours, rest periods, and leave allowances are as follows:</w:t>
      </w:r>
    </w:p>
    <w:p w14:paraId="64A2E309"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0A3F92">
        <w:rPr>
          <w:highlight w:val="yellow"/>
        </w:rPr>
        <w:t>INFORMATION ON WORKING HOURS, DAILY REST, WEEKLY REST</w:t>
      </w:r>
      <w:r>
        <w:t>]</w:t>
      </w:r>
    </w:p>
    <w:p w14:paraId="57ECC681"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0A3F92">
        <w:rPr>
          <w:highlight w:val="yellow"/>
        </w:rPr>
        <w:t xml:space="preserve">INFORMATION ON APPLICABLE </w:t>
      </w:r>
      <w:r>
        <w:rPr>
          <w:highlight w:val="yellow"/>
        </w:rPr>
        <w:t xml:space="preserve">HOILDAY AND </w:t>
      </w:r>
      <w:r w:rsidRPr="000A3F92">
        <w:rPr>
          <w:highlight w:val="yellow"/>
        </w:rPr>
        <w:t>LEAVE, INCLUDING MATERNITY / PATERNITY</w:t>
      </w:r>
      <w:r>
        <w:rPr>
          <w:highlight w:val="yellow"/>
        </w:rPr>
        <w:t xml:space="preserve"> / SHARED PARENTAL</w:t>
      </w:r>
      <w:r w:rsidRPr="000A3F92">
        <w:rPr>
          <w:highlight w:val="yellow"/>
        </w:rPr>
        <w:t xml:space="preserve"> LEAVE</w:t>
      </w:r>
      <w:r>
        <w:t>]</w:t>
      </w:r>
    </w:p>
    <w:p w14:paraId="318834D5" w14:textId="77777777" w:rsidR="0010478B" w:rsidRDefault="0010478B" w:rsidP="0010478B"/>
    <w:p w14:paraId="515F8D6B" w14:textId="77777777" w:rsidR="0010478B" w:rsidRDefault="0010478B" w:rsidP="0010478B">
      <w:r>
        <w:t xml:space="preserve">Wage deductions will not be made except when required and </w:t>
      </w:r>
      <w:proofErr w:type="gramStart"/>
      <w:r>
        <w:t>where</w:t>
      </w:r>
      <w:proofErr w:type="gramEnd"/>
      <w:r>
        <w:t xml:space="preserve"> permitted under national law. </w:t>
      </w:r>
    </w:p>
    <w:p w14:paraId="59C12AFF" w14:textId="77777777" w:rsidR="0010478B" w:rsidRDefault="0010478B" w:rsidP="0010478B"/>
    <w:p w14:paraId="629B4C68" w14:textId="77777777" w:rsidR="0010478B" w:rsidRDefault="0010478B" w:rsidP="0010478B">
      <w:r>
        <w:t xml:space="preserve">Overtime work will be requested and performed consistent with applicable contracts and national law, including relevant standards on pay premiums and restrictions on hours. Overtime can be accepted or declined by an employee on a voluntary basis. </w:t>
      </w:r>
    </w:p>
    <w:p w14:paraId="7ACF0E77" w14:textId="77777777" w:rsidR="0010478B" w:rsidRDefault="0010478B" w:rsidP="0010478B"/>
    <w:p w14:paraId="746ADF84" w14:textId="77777777" w:rsidR="0010478B" w:rsidRDefault="0010478B" w:rsidP="0010478B">
      <w:pPr>
        <w:pStyle w:val="Heading2"/>
      </w:pPr>
      <w:r>
        <w:t>Workers’ Organisations and Freedom of Association</w:t>
      </w:r>
    </w:p>
    <w:p w14:paraId="11BD24BF" w14:textId="77777777" w:rsidR="009814BB" w:rsidRDefault="009814BB" w:rsidP="0010478B"/>
    <w:p w14:paraId="430DC78F" w14:textId="2CE2BEC4" w:rsidR="0010478B" w:rsidRDefault="0010478B" w:rsidP="0010478B">
      <w:r>
        <w:t>Consistent with national law, [</w:t>
      </w:r>
      <w:r>
        <w:rPr>
          <w:highlight w:val="yellow"/>
        </w:rPr>
        <w:t>ORGANISATION</w:t>
      </w:r>
      <w:r>
        <w:t>] respects the ability of employees to organise and make their voices heard. This includes the right to:</w:t>
      </w:r>
    </w:p>
    <w:p w14:paraId="02AD957D" w14:textId="77777777" w:rsidR="0010478B" w:rsidRDefault="0010478B" w:rsidP="0010478B">
      <w:pPr>
        <w:pStyle w:val="ListBullet"/>
        <w:tabs>
          <w:tab w:val="clear" w:pos="360"/>
        </w:tabs>
        <w:autoSpaceDN/>
        <w:spacing w:after="120" w:line="260" w:lineRule="atLeast"/>
        <w:ind w:left="794" w:hanging="227"/>
        <w:contextualSpacing w:val="0"/>
        <w:textAlignment w:val="auto"/>
      </w:pPr>
      <w:r>
        <w:t>Form or join a union or workers’ organisation of choice, without retaliation or interference and to engage in collective bargaining, consistent with national law [where applicable].</w:t>
      </w:r>
    </w:p>
    <w:p w14:paraId="584C9C66" w14:textId="77777777" w:rsidR="0010478B" w:rsidRDefault="0010478B" w:rsidP="0010478B">
      <w:pPr>
        <w:pStyle w:val="ListBullet"/>
        <w:tabs>
          <w:tab w:val="clear" w:pos="360"/>
        </w:tabs>
        <w:autoSpaceDN/>
        <w:spacing w:after="120" w:line="260" w:lineRule="atLeast"/>
        <w:ind w:left="794" w:hanging="227"/>
        <w:contextualSpacing w:val="0"/>
        <w:textAlignment w:val="auto"/>
      </w:pPr>
      <w:r>
        <w:t xml:space="preserve">Engage in non-union forms of engagement, such as committees, </w:t>
      </w:r>
      <w:proofErr w:type="gramStart"/>
      <w:r>
        <w:t>associations</w:t>
      </w:r>
      <w:proofErr w:type="gramEnd"/>
      <w:r>
        <w:t xml:space="preserve"> or other forms, as applicable. </w:t>
      </w:r>
    </w:p>
    <w:p w14:paraId="089FFBE4" w14:textId="77777777" w:rsidR="009814BB" w:rsidRDefault="009814BB" w:rsidP="0010478B"/>
    <w:p w14:paraId="0E18D38C" w14:textId="20376810" w:rsidR="0010478B" w:rsidRDefault="0010478B" w:rsidP="0010478B">
      <w:r>
        <w:t xml:space="preserve">We commit to engaging with employees and their organisations in a manner that is constructive and based on national legal requirements.  </w:t>
      </w:r>
    </w:p>
    <w:p w14:paraId="188AE92A" w14:textId="77777777" w:rsidR="009814BB" w:rsidRPr="003A15ED" w:rsidRDefault="009814BB" w:rsidP="0010478B"/>
    <w:p w14:paraId="697847D9" w14:textId="77777777" w:rsidR="0010478B" w:rsidRDefault="0010478B" w:rsidP="0010478B">
      <w:pPr>
        <w:pStyle w:val="Heading2"/>
      </w:pPr>
      <w:r>
        <w:t>Non-Discrimination and Equal Opportunities</w:t>
      </w:r>
    </w:p>
    <w:p w14:paraId="6DCAAA1A" w14:textId="77777777" w:rsidR="009814BB" w:rsidRDefault="009814BB" w:rsidP="0010478B"/>
    <w:p w14:paraId="46692D31" w14:textId="241FAA08" w:rsidR="0010478B" w:rsidRDefault="0010478B" w:rsidP="0010478B">
      <w:r>
        <w:t>[</w:t>
      </w:r>
      <w:r>
        <w:rPr>
          <w:highlight w:val="yellow"/>
        </w:rPr>
        <w:t>ORGANISATION</w:t>
      </w:r>
      <w:r>
        <w:t xml:space="preserve">] will ensure that </w:t>
      </w:r>
      <w:r w:rsidRPr="005A523E">
        <w:t xml:space="preserve">the employment relationship </w:t>
      </w:r>
      <w:r>
        <w:t xml:space="preserve">is based </w:t>
      </w:r>
      <w:r w:rsidRPr="005A523E">
        <w:t xml:space="preserve">on the principle of equal opportunity and fair </w:t>
      </w:r>
      <w:proofErr w:type="gramStart"/>
      <w:r w:rsidRPr="005A523E">
        <w:t>treatment, and</w:t>
      </w:r>
      <w:proofErr w:type="gramEnd"/>
      <w:r w:rsidRPr="005A523E">
        <w:t xml:space="preserve"> will not discriminate with respect to any aspects of the employment relationship, </w:t>
      </w:r>
      <w:r>
        <w:t>including</w:t>
      </w:r>
      <w:r w:rsidRPr="005A523E">
        <w:t xml:space="preserve"> recruitment and hiring, compensation (including wages and benefits), working conditions and terms of employment, access to training, job assignment, promotion, termination of employment or retirement, and disciplinary practices</w:t>
      </w:r>
      <w:r>
        <w:t xml:space="preserve">. </w:t>
      </w:r>
    </w:p>
    <w:p w14:paraId="1BB49F62" w14:textId="77777777" w:rsidR="009814BB" w:rsidRDefault="009814BB" w:rsidP="0010478B"/>
    <w:p w14:paraId="4BF79714" w14:textId="12ECA64D" w:rsidR="0010478B" w:rsidRDefault="0010478B" w:rsidP="0010478B">
      <w:r>
        <w:lastRenderedPageBreak/>
        <w:t>[</w:t>
      </w:r>
      <w:r>
        <w:rPr>
          <w:highlight w:val="yellow"/>
        </w:rPr>
        <w:t>ORGANISATION</w:t>
      </w:r>
      <w:r>
        <w:t xml:space="preserve">] will ensure that discrimination does not take place </w:t>
      </w:r>
      <w:proofErr w:type="gramStart"/>
      <w:r>
        <w:t>on the basis of</w:t>
      </w:r>
      <w:proofErr w:type="gramEnd"/>
      <w:r>
        <w:t xml:space="preserve"> personal characteristics unrelated to inherent job requirements, including </w:t>
      </w:r>
      <w:r w:rsidRPr="0069764A">
        <w:t>gender, race, nationality, ethnic</w:t>
      </w:r>
      <w:r>
        <w:t>ity</w:t>
      </w:r>
      <w:r w:rsidRPr="0069764A">
        <w:t xml:space="preserve">, social and indigenous origin, religion or belief, disability, age or sexual orientation, </w:t>
      </w:r>
      <w:r>
        <w:t>and</w:t>
      </w:r>
      <w:r w:rsidRPr="0069764A">
        <w:t xml:space="preserve"> </w:t>
      </w:r>
      <w:r>
        <w:t xml:space="preserve">on </w:t>
      </w:r>
      <w:r w:rsidRPr="0069764A">
        <w:t>any</w:t>
      </w:r>
      <w:r>
        <w:t xml:space="preserve"> other</w:t>
      </w:r>
      <w:r w:rsidRPr="0069764A">
        <w:t xml:space="preserve"> </w:t>
      </w:r>
      <w:r>
        <w:t>basis</w:t>
      </w:r>
      <w:r w:rsidRPr="0069764A">
        <w:t xml:space="preserve"> </w:t>
      </w:r>
      <w:r>
        <w:t>defined under</w:t>
      </w:r>
      <w:r w:rsidRPr="0069764A">
        <w:t xml:space="preserve"> national law</w:t>
      </w:r>
      <w:r>
        <w:t>. This includes a specific commitment to ensuring:</w:t>
      </w:r>
    </w:p>
    <w:p w14:paraId="746BB1C7" w14:textId="77777777" w:rsidR="0010478B" w:rsidRDefault="0010478B" w:rsidP="0010478B">
      <w:pPr>
        <w:pStyle w:val="ListBullet"/>
        <w:tabs>
          <w:tab w:val="clear" w:pos="360"/>
        </w:tabs>
        <w:autoSpaceDN/>
        <w:spacing w:after="120" w:line="260" w:lineRule="atLeast"/>
        <w:ind w:left="794" w:hanging="227"/>
        <w:contextualSpacing w:val="0"/>
        <w:textAlignment w:val="auto"/>
      </w:pPr>
      <w:r>
        <w:t>Equal pay for men and women for work of equal value.</w:t>
      </w:r>
    </w:p>
    <w:p w14:paraId="6290257D" w14:textId="77777777" w:rsidR="0010478B" w:rsidRDefault="0010478B" w:rsidP="0010478B">
      <w:pPr>
        <w:pStyle w:val="ListBullet"/>
        <w:tabs>
          <w:tab w:val="clear" w:pos="360"/>
        </w:tabs>
        <w:autoSpaceDN/>
        <w:spacing w:after="120" w:line="260" w:lineRule="atLeast"/>
        <w:ind w:left="794" w:hanging="227"/>
        <w:contextualSpacing w:val="0"/>
        <w:textAlignment w:val="auto"/>
      </w:pPr>
      <w:r>
        <w:t xml:space="preserve">Principles of non-discrimination apply to vulnerable </w:t>
      </w:r>
      <w:proofErr w:type="gramStart"/>
      <w:r>
        <w:t>groups;</w:t>
      </w:r>
      <w:proofErr w:type="gramEnd"/>
      <w:r>
        <w:t xml:space="preserve"> for instance, migrant workers, refugees and indigenous persons.</w:t>
      </w:r>
    </w:p>
    <w:p w14:paraId="4EFB1289" w14:textId="77777777" w:rsidR="0010478B" w:rsidRDefault="0010478B" w:rsidP="0010478B">
      <w:pPr>
        <w:pStyle w:val="ListBullet"/>
        <w:tabs>
          <w:tab w:val="clear" w:pos="360"/>
        </w:tabs>
        <w:autoSpaceDN/>
        <w:spacing w:after="120" w:line="260" w:lineRule="atLeast"/>
        <w:ind w:left="794" w:hanging="227"/>
        <w:contextualSpacing w:val="0"/>
        <w:textAlignment w:val="auto"/>
      </w:pPr>
      <w:r>
        <w:t>Measures are in place to prevent and address any form of violence, harassment, bullying, intimidation and/or exploitation [</w:t>
      </w:r>
      <w:r w:rsidRPr="000A3F92">
        <w:rPr>
          <w:highlight w:val="yellow"/>
        </w:rPr>
        <w:t xml:space="preserve">INSERT CROSS-REFERENCE TO </w:t>
      </w:r>
      <w:r>
        <w:rPr>
          <w:highlight w:val="yellow"/>
        </w:rPr>
        <w:t xml:space="preserve">ORGANISATION’S </w:t>
      </w:r>
      <w:r w:rsidRPr="000A3F92">
        <w:rPr>
          <w:highlight w:val="yellow"/>
        </w:rPr>
        <w:t>GBVH POLICY</w:t>
      </w:r>
      <w:r>
        <w:t>].</w:t>
      </w:r>
      <w:r>
        <w:rPr>
          <w:rStyle w:val="FootnoteReference"/>
        </w:rPr>
        <w:footnoteReference w:id="2"/>
      </w:r>
    </w:p>
    <w:tbl>
      <w:tblPr>
        <w:tblStyle w:val="TableGrid"/>
        <w:tblW w:w="0" w:type="auto"/>
        <w:tblCellMar>
          <w:top w:w="29" w:type="dxa"/>
          <w:bottom w:w="29" w:type="dxa"/>
        </w:tblCellMar>
        <w:tblLook w:val="04A0" w:firstRow="1" w:lastRow="0" w:firstColumn="1" w:lastColumn="0" w:noHBand="0" w:noVBand="1"/>
      </w:tblPr>
      <w:tblGrid>
        <w:gridCol w:w="10308"/>
      </w:tblGrid>
      <w:tr w:rsidR="0010478B" w14:paraId="3B658B31" w14:textId="77777777" w:rsidTr="00B80963">
        <w:trPr>
          <w:trHeight w:val="671"/>
        </w:trPr>
        <w:tc>
          <w:tcPr>
            <w:tcW w:w="0" w:type="auto"/>
            <w:tcBorders>
              <w:top w:val="single" w:sz="12" w:space="0" w:color="000000" w:themeColor="accent1"/>
              <w:left w:val="single" w:sz="12" w:space="0" w:color="000000" w:themeColor="accent1"/>
              <w:bottom w:val="single" w:sz="12" w:space="0" w:color="000000" w:themeColor="accent1"/>
              <w:right w:val="single" w:sz="12" w:space="0" w:color="000000" w:themeColor="accent1"/>
            </w:tcBorders>
          </w:tcPr>
          <w:p w14:paraId="110301B7" w14:textId="77777777" w:rsidR="0010478B" w:rsidRDefault="0010478B" w:rsidP="00B80963">
            <w:pPr>
              <w:pStyle w:val="Tabletext"/>
            </w:pPr>
            <w:r w:rsidRPr="00D219FE">
              <w:rPr>
                <w:rFonts w:asciiTheme="majorHAnsi" w:hAnsiTheme="majorHAnsi" w:cs="Calibri"/>
                <w:color w:val="auto"/>
                <w:sz w:val="22"/>
              </w:rPr>
              <w:t>Note: National laws and regulations can prescribe specific rules governing non-discrimination and anti-harassment measures. Always ensure that a thorough review of national legal requirements is conducted to ensure that your HR policy is consistent.</w:t>
            </w:r>
            <w:r>
              <w:t xml:space="preserve"> </w:t>
            </w:r>
          </w:p>
        </w:tc>
      </w:tr>
    </w:tbl>
    <w:p w14:paraId="4199BC1B" w14:textId="77777777" w:rsidR="0010478B" w:rsidRDefault="0010478B" w:rsidP="0010478B">
      <w:pPr>
        <w:pStyle w:val="ListBullet"/>
        <w:numPr>
          <w:ilvl w:val="0"/>
          <w:numId w:val="0"/>
        </w:numPr>
      </w:pPr>
    </w:p>
    <w:p w14:paraId="41D22177" w14:textId="77777777" w:rsidR="0010478B" w:rsidRDefault="0010478B" w:rsidP="0010478B">
      <w:pPr>
        <w:pStyle w:val="Heading2"/>
      </w:pPr>
      <w:r>
        <w:t xml:space="preserve">Termination of the employment relationship </w:t>
      </w:r>
    </w:p>
    <w:p w14:paraId="355A9AE9" w14:textId="77777777" w:rsidR="0010478B" w:rsidRPr="009814BB" w:rsidRDefault="0010478B" w:rsidP="0010478B">
      <w:pPr>
        <w:rPr>
          <w:rFonts w:asciiTheme="majorHAnsi" w:hAnsiTheme="majorHAnsi"/>
        </w:rPr>
      </w:pPr>
      <w:r w:rsidRPr="009814BB">
        <w:rPr>
          <w:rFonts w:asciiTheme="majorHAnsi" w:hAnsiTheme="majorHAnsi"/>
        </w:rPr>
        <w:t>Termination of the employment relationship may occur due to:</w:t>
      </w:r>
    </w:p>
    <w:p w14:paraId="6FF5BDD3" w14:textId="77777777" w:rsidR="0010478B" w:rsidRPr="009814BB" w:rsidRDefault="0010478B" w:rsidP="0010478B">
      <w:pPr>
        <w:pStyle w:val="ListBullet"/>
        <w:tabs>
          <w:tab w:val="clear" w:pos="360"/>
        </w:tabs>
        <w:autoSpaceDN/>
        <w:spacing w:after="120" w:line="260" w:lineRule="atLeast"/>
        <w:ind w:left="794" w:hanging="227"/>
        <w:contextualSpacing w:val="0"/>
        <w:textAlignment w:val="auto"/>
        <w:rPr>
          <w:rFonts w:asciiTheme="majorHAnsi" w:hAnsiTheme="majorHAnsi"/>
        </w:rPr>
      </w:pPr>
      <w:r w:rsidRPr="009814BB">
        <w:rPr>
          <w:rStyle w:val="NormalBold"/>
          <w:rFonts w:asciiTheme="majorHAnsi" w:hAnsiTheme="majorHAnsi"/>
          <w:b/>
          <w:bCs/>
        </w:rPr>
        <w:t>Resignation:</w:t>
      </w:r>
      <w:r w:rsidRPr="009814BB">
        <w:rPr>
          <w:rFonts w:asciiTheme="majorHAnsi" w:hAnsiTheme="majorHAnsi"/>
        </w:rPr>
        <w:t xml:space="preserve"> Voluntary employment termination initiated by the employee.</w:t>
      </w:r>
    </w:p>
    <w:p w14:paraId="4180380C" w14:textId="77777777" w:rsidR="0010478B" w:rsidRPr="009814BB" w:rsidRDefault="0010478B" w:rsidP="0010478B">
      <w:pPr>
        <w:pStyle w:val="ListBullet"/>
        <w:tabs>
          <w:tab w:val="clear" w:pos="360"/>
        </w:tabs>
        <w:autoSpaceDN/>
        <w:spacing w:after="120" w:line="260" w:lineRule="atLeast"/>
        <w:ind w:left="794" w:hanging="227"/>
        <w:contextualSpacing w:val="0"/>
        <w:textAlignment w:val="auto"/>
        <w:rPr>
          <w:rFonts w:asciiTheme="majorHAnsi" w:hAnsiTheme="majorHAnsi"/>
        </w:rPr>
      </w:pPr>
      <w:r w:rsidRPr="009814BB">
        <w:rPr>
          <w:rStyle w:val="NormalBold"/>
          <w:rFonts w:asciiTheme="majorHAnsi" w:hAnsiTheme="majorHAnsi"/>
          <w:b/>
          <w:bCs/>
        </w:rPr>
        <w:t>Dismissal:</w:t>
      </w:r>
      <w:r w:rsidRPr="009814BB">
        <w:rPr>
          <w:rFonts w:asciiTheme="majorHAnsi" w:hAnsiTheme="majorHAnsi"/>
        </w:rPr>
        <w:t xml:space="preserve"> Involuntary employment termination initiated by </w:t>
      </w:r>
      <w:r w:rsidRPr="009814BB">
        <w:rPr>
          <w:rFonts w:asciiTheme="majorHAnsi" w:hAnsiTheme="majorHAnsi"/>
          <w:highlight w:val="yellow"/>
        </w:rPr>
        <w:t>[ORGANISATION]</w:t>
      </w:r>
      <w:r w:rsidRPr="009814BB">
        <w:rPr>
          <w:rFonts w:asciiTheme="majorHAnsi" w:hAnsiTheme="majorHAnsi"/>
        </w:rPr>
        <w:t>, consistent with this policy and national law.</w:t>
      </w:r>
    </w:p>
    <w:p w14:paraId="6EF2E984" w14:textId="77777777" w:rsidR="0010478B" w:rsidRPr="009814BB" w:rsidRDefault="0010478B" w:rsidP="0010478B">
      <w:pPr>
        <w:pStyle w:val="ListBullet"/>
        <w:tabs>
          <w:tab w:val="clear" w:pos="360"/>
        </w:tabs>
        <w:autoSpaceDN/>
        <w:spacing w:after="120" w:line="260" w:lineRule="atLeast"/>
        <w:ind w:left="794" w:hanging="227"/>
        <w:contextualSpacing w:val="0"/>
        <w:textAlignment w:val="auto"/>
        <w:rPr>
          <w:rFonts w:asciiTheme="majorHAnsi" w:hAnsiTheme="majorHAnsi"/>
        </w:rPr>
      </w:pPr>
      <w:r w:rsidRPr="009814BB">
        <w:rPr>
          <w:rStyle w:val="NormalBold"/>
          <w:rFonts w:asciiTheme="majorHAnsi" w:hAnsiTheme="majorHAnsi"/>
          <w:b/>
          <w:bCs/>
        </w:rPr>
        <w:t>Retrenchment:</w:t>
      </w:r>
      <w:r w:rsidRPr="009814BB">
        <w:rPr>
          <w:rFonts w:asciiTheme="majorHAnsi" w:hAnsiTheme="majorHAnsi"/>
        </w:rPr>
        <w:t xml:space="preserve"> See section below.</w:t>
      </w:r>
    </w:p>
    <w:p w14:paraId="77F55FE4" w14:textId="77777777" w:rsidR="0010478B" w:rsidRPr="009814BB" w:rsidRDefault="0010478B" w:rsidP="0010478B">
      <w:pPr>
        <w:pStyle w:val="ListBullet"/>
        <w:tabs>
          <w:tab w:val="clear" w:pos="360"/>
        </w:tabs>
        <w:autoSpaceDN/>
        <w:spacing w:after="120" w:line="260" w:lineRule="atLeast"/>
        <w:ind w:left="794" w:hanging="227"/>
        <w:contextualSpacing w:val="0"/>
        <w:textAlignment w:val="auto"/>
        <w:rPr>
          <w:rStyle w:val="NormalBold"/>
          <w:rFonts w:asciiTheme="majorHAnsi" w:hAnsiTheme="majorHAnsi"/>
          <w:b/>
          <w:bCs/>
        </w:rPr>
      </w:pPr>
      <w:r w:rsidRPr="009814BB">
        <w:rPr>
          <w:rStyle w:val="NormalBold"/>
          <w:rFonts w:asciiTheme="majorHAnsi" w:hAnsiTheme="majorHAnsi"/>
          <w:b/>
          <w:bCs/>
        </w:rPr>
        <w:t>Retirement.</w:t>
      </w:r>
    </w:p>
    <w:p w14:paraId="1B6CA03F" w14:textId="77777777" w:rsidR="0010478B" w:rsidRDefault="0010478B" w:rsidP="0010478B">
      <w:pPr>
        <w:pStyle w:val="ListBullet"/>
        <w:numPr>
          <w:ilvl w:val="0"/>
          <w:numId w:val="0"/>
        </w:numPr>
      </w:pPr>
      <w:r>
        <w:t xml:space="preserve">In all cases, applicable </w:t>
      </w:r>
      <w:proofErr w:type="gramStart"/>
      <w:r>
        <w:t>benefits</w:t>
      </w:r>
      <w:proofErr w:type="gramEnd"/>
      <w:r>
        <w:t xml:space="preserve"> and payments due at termination will be paid according to national law.</w:t>
      </w:r>
    </w:p>
    <w:p w14:paraId="314C5273" w14:textId="77777777" w:rsidR="0010478B" w:rsidRDefault="0010478B" w:rsidP="0010478B">
      <w:pPr>
        <w:pStyle w:val="ListBullet"/>
        <w:numPr>
          <w:ilvl w:val="0"/>
          <w:numId w:val="0"/>
        </w:numPr>
      </w:pPr>
    </w:p>
    <w:p w14:paraId="5803DD25" w14:textId="77777777" w:rsidR="0010478B" w:rsidRDefault="0010478B" w:rsidP="0010478B">
      <w:pPr>
        <w:pStyle w:val="Heading4"/>
      </w:pPr>
      <w:r>
        <w:t>Resignation</w:t>
      </w:r>
    </w:p>
    <w:p w14:paraId="2747A657" w14:textId="77777777" w:rsidR="0010478B" w:rsidRDefault="0010478B" w:rsidP="0010478B">
      <w:r>
        <w:t>In case of resignation:</w:t>
      </w:r>
    </w:p>
    <w:p w14:paraId="02C51F8A"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217879">
        <w:rPr>
          <w:highlight w:val="yellow"/>
        </w:rPr>
        <w:t>DEFINE MINIMUM NOTICE PERIOD</w:t>
      </w:r>
      <w:r>
        <w:t>]</w:t>
      </w:r>
    </w:p>
    <w:p w14:paraId="5F57B2FE"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217879">
        <w:rPr>
          <w:highlight w:val="yellow"/>
        </w:rPr>
        <w:t>RETURN OF COMPANY PROPERTY</w:t>
      </w:r>
      <w:r>
        <w:t>]</w:t>
      </w:r>
    </w:p>
    <w:p w14:paraId="427AAD84"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217879">
        <w:rPr>
          <w:highlight w:val="yellow"/>
        </w:rPr>
        <w:t>ADMINISTRATIVE REQUIREMENTS FOR TERMINATING INSURANCE, PENSION AND OTHER BENEFITS</w:t>
      </w:r>
      <w:r>
        <w:t>]</w:t>
      </w:r>
    </w:p>
    <w:p w14:paraId="775F795E"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217879">
        <w:rPr>
          <w:highlight w:val="yellow"/>
        </w:rPr>
        <w:t>RELEVANT PAYMENTS, INCLUDING ACCRUED LEAVE</w:t>
      </w:r>
      <w:r>
        <w:t>]</w:t>
      </w:r>
    </w:p>
    <w:p w14:paraId="24BFF1E1"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217879">
        <w:rPr>
          <w:highlight w:val="yellow"/>
        </w:rPr>
        <w:t>EXIT INTERVIEW PROCESS</w:t>
      </w:r>
      <w:r>
        <w:t>]</w:t>
      </w:r>
    </w:p>
    <w:p w14:paraId="72AEF969" w14:textId="77777777" w:rsidR="0010478B" w:rsidRDefault="0010478B" w:rsidP="0010478B">
      <w:pPr>
        <w:pStyle w:val="Heading4"/>
      </w:pPr>
      <w:r>
        <w:t>Dismissal</w:t>
      </w:r>
    </w:p>
    <w:p w14:paraId="3DA32595" w14:textId="77777777" w:rsidR="0010478B" w:rsidRDefault="0010478B" w:rsidP="0010478B">
      <w:r>
        <w:t>In case of dismissal:</w:t>
      </w:r>
    </w:p>
    <w:p w14:paraId="36E5A975" w14:textId="77777777" w:rsidR="0010478B" w:rsidRDefault="0010478B" w:rsidP="0010478B">
      <w:pPr>
        <w:pStyle w:val="ListBullet"/>
        <w:tabs>
          <w:tab w:val="clear" w:pos="360"/>
        </w:tabs>
        <w:autoSpaceDN/>
        <w:spacing w:after="120" w:line="260" w:lineRule="atLeast"/>
        <w:ind w:left="794" w:hanging="227"/>
        <w:contextualSpacing w:val="0"/>
        <w:textAlignment w:val="auto"/>
      </w:pPr>
      <w:r>
        <w:lastRenderedPageBreak/>
        <w:t>[</w:t>
      </w:r>
      <w:r w:rsidRPr="00F974CA">
        <w:rPr>
          <w:highlight w:val="yellow"/>
        </w:rPr>
        <w:t xml:space="preserve">DEFINE </w:t>
      </w:r>
      <w:r w:rsidRPr="00217879">
        <w:rPr>
          <w:highlight w:val="yellow"/>
        </w:rPr>
        <w:t>EXPECTED CONDUCT AND DISCIPLINE APPROACH</w:t>
      </w:r>
      <w:r>
        <w:t>]</w:t>
      </w:r>
    </w:p>
    <w:p w14:paraId="23A2CFA9"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047D71">
        <w:rPr>
          <w:highlight w:val="yellow"/>
        </w:rPr>
        <w:t xml:space="preserve">DEFINE </w:t>
      </w:r>
      <w:r w:rsidRPr="00217879">
        <w:rPr>
          <w:highlight w:val="yellow"/>
        </w:rPr>
        <w:t xml:space="preserve">GROUNDS FOR DIMISSAL AND </w:t>
      </w:r>
      <w:r>
        <w:rPr>
          <w:highlight w:val="yellow"/>
        </w:rPr>
        <w:t>MIS</w:t>
      </w:r>
      <w:r w:rsidRPr="00217879">
        <w:rPr>
          <w:highlight w:val="yellow"/>
        </w:rPr>
        <w:t>CONDUCT</w:t>
      </w:r>
      <w:r>
        <w:t>]</w:t>
      </w:r>
    </w:p>
    <w:p w14:paraId="38055E49" w14:textId="77777777" w:rsidR="0010478B" w:rsidRPr="000831FA" w:rsidRDefault="0010478B" w:rsidP="0010478B">
      <w:pPr>
        <w:pStyle w:val="ListBullet"/>
        <w:tabs>
          <w:tab w:val="clear" w:pos="360"/>
        </w:tabs>
        <w:autoSpaceDN/>
        <w:spacing w:after="120" w:line="260" w:lineRule="atLeast"/>
        <w:ind w:left="794" w:hanging="227"/>
        <w:contextualSpacing w:val="0"/>
        <w:textAlignment w:val="auto"/>
      </w:pPr>
      <w:r>
        <w:t>[</w:t>
      </w:r>
      <w:r w:rsidRPr="00217879">
        <w:rPr>
          <w:highlight w:val="yellow"/>
        </w:rPr>
        <w:t>DEFINE DISCIPLINARY PROCESS, INCLUDING GROUNDS FOR APPEAL AND GRIEVANCE PROCESS</w:t>
      </w:r>
      <w:r>
        <w:t>]</w:t>
      </w:r>
    </w:p>
    <w:p w14:paraId="40FEF2D5" w14:textId="77777777" w:rsidR="0010478B" w:rsidRDefault="0010478B" w:rsidP="0010478B">
      <w:r>
        <w:t xml:space="preserve">In all cases, </w:t>
      </w:r>
      <w:r w:rsidRPr="002832F4">
        <w:t>[</w:t>
      </w:r>
      <w:r w:rsidRPr="00217879">
        <w:rPr>
          <w:highlight w:val="yellow"/>
        </w:rPr>
        <w:t>ORGANISATION’S</w:t>
      </w:r>
      <w:r w:rsidRPr="002832F4">
        <w:t>]</w:t>
      </w:r>
      <w:r>
        <w:t xml:space="preserve"> approach to discipline is consistent with other policy commitments, including non-discrimination, equal </w:t>
      </w:r>
      <w:proofErr w:type="gramStart"/>
      <w:r>
        <w:t>opportunity</w:t>
      </w:r>
      <w:proofErr w:type="gramEnd"/>
      <w:r>
        <w:t xml:space="preserve"> and freedom of association. Discipline will </w:t>
      </w:r>
      <w:r w:rsidRPr="000F36D9">
        <w:t xml:space="preserve">not take place </w:t>
      </w:r>
      <w:proofErr w:type="gramStart"/>
      <w:r w:rsidRPr="000F36D9">
        <w:t>on the basis of</w:t>
      </w:r>
      <w:proofErr w:type="gramEnd"/>
      <w:r w:rsidRPr="000F36D9">
        <w:t xml:space="preserve"> </w:t>
      </w:r>
      <w:r>
        <w:t xml:space="preserve">discriminatory grounds or due to an employee’s involvement in legitimate trade union activities.  </w:t>
      </w:r>
    </w:p>
    <w:tbl>
      <w:tblPr>
        <w:tblStyle w:val="TableGrid"/>
        <w:tblW w:w="0" w:type="auto"/>
        <w:tblCellMar>
          <w:top w:w="29" w:type="dxa"/>
          <w:bottom w:w="29" w:type="dxa"/>
        </w:tblCellMar>
        <w:tblLook w:val="04A0" w:firstRow="1" w:lastRow="0" w:firstColumn="1" w:lastColumn="0" w:noHBand="0" w:noVBand="1"/>
      </w:tblPr>
      <w:tblGrid>
        <w:gridCol w:w="10308"/>
      </w:tblGrid>
      <w:tr w:rsidR="0010478B" w14:paraId="6D2AD77F" w14:textId="77777777" w:rsidTr="00B80963">
        <w:trPr>
          <w:trHeight w:val="671"/>
        </w:trPr>
        <w:tc>
          <w:tcPr>
            <w:tcW w:w="0" w:type="auto"/>
            <w:tcBorders>
              <w:top w:val="single" w:sz="12" w:space="0" w:color="000000" w:themeColor="accent1"/>
              <w:left w:val="single" w:sz="12" w:space="0" w:color="000000" w:themeColor="accent1"/>
              <w:bottom w:val="single" w:sz="12" w:space="0" w:color="000000" w:themeColor="accent1"/>
              <w:right w:val="single" w:sz="12" w:space="0" w:color="000000" w:themeColor="accent1"/>
            </w:tcBorders>
          </w:tcPr>
          <w:p w14:paraId="0FB6A6D4" w14:textId="77777777" w:rsidR="0010478B" w:rsidRDefault="0010478B" w:rsidP="00B80963">
            <w:pPr>
              <w:pStyle w:val="Tabletext"/>
            </w:pPr>
            <w:r w:rsidRPr="00D219FE">
              <w:rPr>
                <w:rFonts w:asciiTheme="majorHAnsi" w:hAnsiTheme="majorHAnsi" w:cs="Calibri"/>
                <w:color w:val="auto"/>
                <w:sz w:val="22"/>
              </w:rPr>
              <w:t>Note: National laws and regulations often set standards on when and how the employment relationship is terminated, including notice periods, reasons for dismissal, grounds for misconduct and mandatory retirement ages. Always ensure that a thorough review of national legal requirements is conducted to ensure that your HR policy is consistent with local laws.</w:t>
            </w:r>
          </w:p>
        </w:tc>
      </w:tr>
    </w:tbl>
    <w:p w14:paraId="1F9A2417" w14:textId="77777777" w:rsidR="0010478B" w:rsidRPr="00C3291E" w:rsidRDefault="0010478B" w:rsidP="0010478B"/>
    <w:p w14:paraId="7767510E" w14:textId="77777777" w:rsidR="0010478B" w:rsidRDefault="0010478B" w:rsidP="0010478B">
      <w:pPr>
        <w:pStyle w:val="Heading2"/>
      </w:pPr>
      <w:r>
        <w:t>Retrenchment</w:t>
      </w:r>
    </w:p>
    <w:p w14:paraId="519D89F5" w14:textId="2EBA22DC" w:rsidR="0010478B" w:rsidRDefault="0010478B" w:rsidP="0010478B">
      <w:r w:rsidRPr="00A66E54">
        <w:rPr>
          <w:highlight w:val="yellow"/>
        </w:rPr>
        <w:t>[</w:t>
      </w:r>
      <w:r>
        <w:rPr>
          <w:highlight w:val="yellow"/>
        </w:rPr>
        <w:t>ORGANISATION</w:t>
      </w:r>
      <w:r w:rsidRPr="00A66E54">
        <w:rPr>
          <w:highlight w:val="yellow"/>
        </w:rPr>
        <w:t>]</w:t>
      </w:r>
      <w:r>
        <w:t xml:space="preserve"> commits to carrying out analysis of alternatives to retrenchment prior to the implementation of any retrenchment or collective dismissal.</w:t>
      </w:r>
      <w:r>
        <w:rPr>
          <w:rStyle w:val="FootnoteReference"/>
        </w:rPr>
        <w:footnoteReference w:id="3"/>
      </w:r>
      <w:r>
        <w:t xml:space="preserve"> </w:t>
      </w:r>
    </w:p>
    <w:p w14:paraId="4080F815" w14:textId="77777777" w:rsidR="009814BB" w:rsidRDefault="009814BB" w:rsidP="0010478B"/>
    <w:p w14:paraId="23C27038" w14:textId="7B532A0C" w:rsidR="0010478B" w:rsidRDefault="0010478B" w:rsidP="0010478B">
      <w:r>
        <w:t xml:space="preserve">If retrenchment is unavoidable, we commit to developing and implementing a retrenchment plan based on the principle of non-discrimination, that reflects consultation with workers, their organisations, and any other actors as required. Notice of dismissal, severance payments, back pay, and other payments / benefits will be provided in a manner consistent with laws, </w:t>
      </w:r>
      <w:proofErr w:type="gramStart"/>
      <w:r>
        <w:t>regulations</w:t>
      </w:r>
      <w:proofErr w:type="gramEnd"/>
      <w:r>
        <w:t xml:space="preserve"> or contractual requirements. </w:t>
      </w:r>
    </w:p>
    <w:tbl>
      <w:tblPr>
        <w:tblStyle w:val="TableGrid"/>
        <w:tblW w:w="0" w:type="auto"/>
        <w:tblCellMar>
          <w:top w:w="29" w:type="dxa"/>
          <w:bottom w:w="29" w:type="dxa"/>
        </w:tblCellMar>
        <w:tblLook w:val="04A0" w:firstRow="1" w:lastRow="0" w:firstColumn="1" w:lastColumn="0" w:noHBand="0" w:noVBand="1"/>
      </w:tblPr>
      <w:tblGrid>
        <w:gridCol w:w="8715"/>
      </w:tblGrid>
      <w:tr w:rsidR="0010478B" w14:paraId="47C404FB" w14:textId="77777777" w:rsidTr="00B80963">
        <w:trPr>
          <w:trHeight w:val="446"/>
        </w:trPr>
        <w:tc>
          <w:tcPr>
            <w:tcW w:w="8715" w:type="dxa"/>
            <w:tcBorders>
              <w:top w:val="single" w:sz="12" w:space="0" w:color="000000" w:themeColor="accent1"/>
              <w:left w:val="single" w:sz="12" w:space="0" w:color="000000" w:themeColor="accent1"/>
              <w:bottom w:val="single" w:sz="12" w:space="0" w:color="000000" w:themeColor="accent1"/>
              <w:right w:val="single" w:sz="12" w:space="0" w:color="000000" w:themeColor="accent1"/>
            </w:tcBorders>
          </w:tcPr>
          <w:p w14:paraId="7557E39D" w14:textId="77777777" w:rsidR="0010478B" w:rsidRDefault="0010478B" w:rsidP="00B80963">
            <w:pPr>
              <w:pStyle w:val="Tabletext"/>
            </w:pPr>
            <w:r w:rsidRPr="00D219FE">
              <w:rPr>
                <w:rFonts w:asciiTheme="majorHAnsi" w:hAnsiTheme="majorHAnsi" w:cs="Calibri"/>
                <w:color w:val="auto"/>
                <w:sz w:val="22"/>
              </w:rPr>
              <w:t>Note: Guidance and templates relating to retrenchment planning are provided separately.</w:t>
            </w:r>
          </w:p>
        </w:tc>
      </w:tr>
    </w:tbl>
    <w:p w14:paraId="45FFF044" w14:textId="77777777" w:rsidR="0010478B" w:rsidRPr="006F35CD" w:rsidRDefault="0010478B" w:rsidP="0010478B"/>
    <w:p w14:paraId="06B14DCD" w14:textId="77777777" w:rsidR="0010478B" w:rsidRDefault="0010478B" w:rsidP="0010478B">
      <w:pPr>
        <w:pStyle w:val="Heading2"/>
      </w:pPr>
      <w:r>
        <w:t>Grievance Mechanism</w:t>
      </w:r>
    </w:p>
    <w:p w14:paraId="5B0276EE" w14:textId="77777777" w:rsidR="0010478B" w:rsidRDefault="0010478B" w:rsidP="0010478B">
      <w:r w:rsidRPr="00A66E54">
        <w:rPr>
          <w:highlight w:val="yellow"/>
        </w:rPr>
        <w:t>[</w:t>
      </w:r>
      <w:r>
        <w:rPr>
          <w:highlight w:val="yellow"/>
        </w:rPr>
        <w:t>ORGANISATION</w:t>
      </w:r>
      <w:r w:rsidRPr="00A66E54">
        <w:rPr>
          <w:highlight w:val="yellow"/>
        </w:rPr>
        <w:t>]</w:t>
      </w:r>
      <w:r>
        <w:t xml:space="preserve"> commits to providing a confidential grievance mechanism for all employees and employee representatives to raise work-related complaints or concerns, including anonymous complaints if necessary.</w:t>
      </w:r>
    </w:p>
    <w:p w14:paraId="0F5D0FC5" w14:textId="77777777" w:rsidR="009814BB" w:rsidRDefault="009814BB" w:rsidP="0010478B"/>
    <w:p w14:paraId="089970EA" w14:textId="3D9B7179" w:rsidR="0010478B" w:rsidRDefault="0010478B" w:rsidP="0010478B">
      <w:r>
        <w:t xml:space="preserve">Workers who raise grievances will not be subject to retaliation or reprisal </w:t>
      </w:r>
      <w:proofErr w:type="gramStart"/>
      <w:r>
        <w:t>on the basis of</w:t>
      </w:r>
      <w:proofErr w:type="gramEnd"/>
      <w:r>
        <w:t xml:space="preserve"> having raised a concern or complaint.</w:t>
      </w:r>
    </w:p>
    <w:p w14:paraId="312788E1" w14:textId="77777777" w:rsidR="009814BB" w:rsidRDefault="009814BB" w:rsidP="0010478B"/>
    <w:p w14:paraId="018D7C6E" w14:textId="00329FC2" w:rsidR="0010478B" w:rsidRPr="008550A1" w:rsidRDefault="0010478B" w:rsidP="0010478B">
      <w:r>
        <w:lastRenderedPageBreak/>
        <w:t>For more details about the grievance procedure, including grievances pertaining to the</w:t>
      </w:r>
      <w:r w:rsidRPr="00C95D31">
        <w:t xml:space="preserve"> </w:t>
      </w:r>
      <w:r>
        <w:t>g</w:t>
      </w:r>
      <w:r w:rsidRPr="00C95D31">
        <w:t>ender-based violence and sexual harassment</w:t>
      </w:r>
      <w:r>
        <w:t xml:space="preserve"> code of conduct, please refer to [</w:t>
      </w:r>
      <w:r w:rsidRPr="000A3F92">
        <w:rPr>
          <w:highlight w:val="yellow"/>
        </w:rPr>
        <w:t>ORGANISATION’S</w:t>
      </w:r>
      <w:r>
        <w:t xml:space="preserve"> </w:t>
      </w:r>
      <w:r w:rsidRPr="009814BB">
        <w:rPr>
          <w:highlight w:val="yellow"/>
        </w:rPr>
        <w:t>GRIEVANCE PROCEDURE</w:t>
      </w:r>
      <w:r>
        <w:t>].</w:t>
      </w:r>
    </w:p>
    <w:p w14:paraId="2BEB3D03" w14:textId="77777777" w:rsidR="0010478B" w:rsidRDefault="0010478B" w:rsidP="0010478B">
      <w:pPr>
        <w:pStyle w:val="Heading2"/>
      </w:pPr>
      <w:r>
        <w:t>Child Labour</w:t>
      </w:r>
    </w:p>
    <w:p w14:paraId="7A9066A4" w14:textId="77777777" w:rsidR="0010478B" w:rsidRDefault="0010478B" w:rsidP="0010478B">
      <w:r>
        <w:rPr>
          <w:highlight w:val="yellow"/>
        </w:rPr>
        <w:t>[ORGANISATION</w:t>
      </w:r>
      <w:r w:rsidRPr="00B65D61">
        <w:rPr>
          <w:highlight w:val="yellow"/>
        </w:rPr>
        <w:t>]</w:t>
      </w:r>
      <w:r>
        <w:t xml:space="preserve"> does not employ workers under the age of [</w:t>
      </w:r>
      <w:r>
        <w:rPr>
          <w:highlight w:val="yellow"/>
        </w:rPr>
        <w:t>NATIONAL MINIMUM AGE TO ACCESS EMPLOYMENT</w:t>
      </w:r>
      <w:r w:rsidRPr="00A46368">
        <w:rPr>
          <w:highlight w:val="yellow"/>
        </w:rPr>
        <w:t>]</w:t>
      </w:r>
      <w:r w:rsidRPr="00A46368">
        <w:t xml:space="preserve">. </w:t>
      </w:r>
      <w:r>
        <w:t>Consistent with national requirements, industry standards, and our own risk assessments, we also prohibit the engagement of workers under 18 from undertaking work that is deemed hazardous.</w:t>
      </w:r>
    </w:p>
    <w:p w14:paraId="21C0DCF3" w14:textId="77777777" w:rsidR="009814BB" w:rsidRDefault="009814BB" w:rsidP="0010478B"/>
    <w:p w14:paraId="10BEA305" w14:textId="54BAEA71" w:rsidR="0010478B" w:rsidRDefault="0010478B" w:rsidP="0010478B">
      <w:r>
        <w:t xml:space="preserve">Appropriate procedures, including age verification, will be put in place to ensure that these requirements are met. </w:t>
      </w:r>
    </w:p>
    <w:p w14:paraId="7C80B53A" w14:textId="77777777" w:rsidR="0010478B" w:rsidRDefault="0010478B" w:rsidP="0010478B">
      <w:pPr>
        <w:pStyle w:val="Heading2"/>
      </w:pPr>
      <w:r>
        <w:t>Forced Labour</w:t>
      </w:r>
    </w:p>
    <w:p w14:paraId="1A159E25" w14:textId="2866E9EA" w:rsidR="009814BB" w:rsidRDefault="0010478B" w:rsidP="0010478B">
      <w:r>
        <w:rPr>
          <w:highlight w:val="yellow"/>
        </w:rPr>
        <w:t>[ORGANISATION</w:t>
      </w:r>
      <w:r w:rsidRPr="00B65D61">
        <w:rPr>
          <w:highlight w:val="yellow"/>
        </w:rPr>
        <w:t>]</w:t>
      </w:r>
      <w:r>
        <w:t xml:space="preserve"> commits to ensuring all workers </w:t>
      </w:r>
      <w:proofErr w:type="gramStart"/>
      <w:r>
        <w:t>enter into</w:t>
      </w:r>
      <w:proofErr w:type="gramEnd"/>
      <w:r>
        <w:t xml:space="preserve"> employment of their own free will, voluntarily and without coercion. We prohibit:</w:t>
      </w:r>
    </w:p>
    <w:p w14:paraId="7DB104CB" w14:textId="77777777" w:rsidR="0010478B" w:rsidRDefault="0010478B" w:rsidP="0010478B">
      <w:pPr>
        <w:pStyle w:val="ListBullet"/>
        <w:tabs>
          <w:tab w:val="clear" w:pos="360"/>
        </w:tabs>
        <w:autoSpaceDN/>
        <w:spacing w:after="120" w:line="260" w:lineRule="atLeast"/>
        <w:ind w:left="794" w:hanging="227"/>
        <w:contextualSpacing w:val="0"/>
        <w:textAlignment w:val="auto"/>
      </w:pPr>
      <w:r>
        <w:t>The use of deposits or bonds as a condition of employment.</w:t>
      </w:r>
    </w:p>
    <w:p w14:paraId="0B11E4BF" w14:textId="77777777" w:rsidR="0010478B" w:rsidRDefault="0010478B" w:rsidP="0010478B">
      <w:pPr>
        <w:pStyle w:val="ListBullet"/>
        <w:tabs>
          <w:tab w:val="clear" w:pos="360"/>
        </w:tabs>
        <w:autoSpaceDN/>
        <w:spacing w:after="120" w:line="260" w:lineRule="atLeast"/>
        <w:ind w:left="794" w:hanging="227"/>
        <w:contextualSpacing w:val="0"/>
        <w:textAlignment w:val="auto"/>
      </w:pPr>
      <w:r>
        <w:t xml:space="preserve">Recruitment fees or other similar fees which are paid to receive a job are also prohibited. </w:t>
      </w:r>
    </w:p>
    <w:p w14:paraId="78FFA467" w14:textId="3235ABE7" w:rsidR="009814BB" w:rsidRPr="009814BB" w:rsidRDefault="0010478B" w:rsidP="009814BB">
      <w:pPr>
        <w:pStyle w:val="ListBullet"/>
        <w:tabs>
          <w:tab w:val="clear" w:pos="360"/>
        </w:tabs>
        <w:autoSpaceDN/>
        <w:spacing w:after="120" w:line="260" w:lineRule="atLeast"/>
        <w:ind w:left="794" w:hanging="227"/>
        <w:contextualSpacing w:val="0"/>
        <w:textAlignment w:val="auto"/>
      </w:pPr>
      <w:r>
        <w:t xml:space="preserve">The retention of original identity papers, passports, work visas or other personal documents (including the retention of these documents by third parties), unless required to do so by national law. Where document retention is required by national law, workers will be given free and timely access to their documentation without exception.  </w:t>
      </w:r>
    </w:p>
    <w:p w14:paraId="201E228B" w14:textId="77777777" w:rsidR="0010478B" w:rsidRDefault="0010478B" w:rsidP="0010478B">
      <w:pPr>
        <w:pStyle w:val="Heading2"/>
      </w:pPr>
      <w:r>
        <w:t>Occupational Health and Safety (OHS)</w:t>
      </w:r>
    </w:p>
    <w:p w14:paraId="2C4C2E82" w14:textId="50108E84" w:rsidR="009814BB" w:rsidRDefault="0010478B" w:rsidP="0010478B">
      <w:r>
        <w:rPr>
          <w:highlight w:val="yellow"/>
        </w:rPr>
        <w:t>[ORGANISATION</w:t>
      </w:r>
      <w:r w:rsidRPr="00B65D61">
        <w:rPr>
          <w:highlight w:val="yellow"/>
        </w:rPr>
        <w:t>]</w:t>
      </w:r>
      <w:r>
        <w:t xml:space="preserve"> commits to providing a safe and healthy working environment for all staff, and limiting risks that arise from work activities. This includes:</w:t>
      </w:r>
    </w:p>
    <w:p w14:paraId="466910E7" w14:textId="77777777" w:rsidR="0010478B" w:rsidRDefault="0010478B" w:rsidP="0010478B">
      <w:pPr>
        <w:pStyle w:val="ListBullet"/>
        <w:tabs>
          <w:tab w:val="clear" w:pos="360"/>
        </w:tabs>
        <w:autoSpaceDN/>
        <w:spacing w:after="120" w:line="260" w:lineRule="atLeast"/>
        <w:ind w:left="794" w:hanging="227"/>
        <w:contextualSpacing w:val="0"/>
        <w:textAlignment w:val="auto"/>
      </w:pPr>
      <w:r>
        <w:t>Developing risk assessments, applicable management plans / standard operating procedures, emergency response plans and other documents as necessary.</w:t>
      </w:r>
    </w:p>
    <w:p w14:paraId="47BA4E5A" w14:textId="77777777" w:rsidR="0010478B" w:rsidRDefault="0010478B" w:rsidP="0010478B">
      <w:pPr>
        <w:pStyle w:val="ListBullet"/>
        <w:tabs>
          <w:tab w:val="clear" w:pos="360"/>
        </w:tabs>
        <w:autoSpaceDN/>
        <w:spacing w:after="120" w:line="260" w:lineRule="atLeast"/>
        <w:ind w:left="794" w:hanging="227"/>
        <w:contextualSpacing w:val="0"/>
        <w:textAlignment w:val="auto"/>
      </w:pPr>
      <w:r>
        <w:t>Providing</w:t>
      </w:r>
      <w:r w:rsidRPr="00EE05EB">
        <w:t xml:space="preserve"> </w:t>
      </w:r>
      <w:r>
        <w:t xml:space="preserve">ongoing </w:t>
      </w:r>
      <w:r w:rsidRPr="00EE05EB">
        <w:t xml:space="preserve">information, </w:t>
      </w:r>
      <w:proofErr w:type="gramStart"/>
      <w:r w:rsidRPr="00EE05EB">
        <w:t>instruction</w:t>
      </w:r>
      <w:proofErr w:type="gramEnd"/>
      <w:r w:rsidRPr="00EE05EB">
        <w:t xml:space="preserve"> and supervision for </w:t>
      </w:r>
      <w:r>
        <w:t>workers</w:t>
      </w:r>
      <w:r w:rsidRPr="00EE05EB">
        <w:t xml:space="preserve"> on </w:t>
      </w:r>
      <w:r>
        <w:t>OHS matters.</w:t>
      </w:r>
    </w:p>
    <w:p w14:paraId="515CA3C4" w14:textId="77777777" w:rsidR="0010478B" w:rsidRDefault="0010478B" w:rsidP="0010478B">
      <w:pPr>
        <w:pStyle w:val="ListBullet"/>
        <w:tabs>
          <w:tab w:val="clear" w:pos="360"/>
        </w:tabs>
        <w:autoSpaceDN/>
        <w:spacing w:after="120" w:line="260" w:lineRule="atLeast"/>
        <w:ind w:left="794" w:hanging="227"/>
        <w:contextualSpacing w:val="0"/>
        <w:textAlignment w:val="auto"/>
      </w:pPr>
      <w:r>
        <w:t xml:space="preserve">Providing appropriate and ongoing training to ensure all </w:t>
      </w:r>
      <w:r w:rsidRPr="006D5E30">
        <w:t>workers are competent</w:t>
      </w:r>
      <w:r>
        <w:t xml:space="preserve"> and able</w:t>
      </w:r>
      <w:r w:rsidRPr="006D5E30">
        <w:t xml:space="preserve"> to do their jobs safely.</w:t>
      </w:r>
    </w:p>
    <w:p w14:paraId="6A038492" w14:textId="77777777" w:rsidR="0010478B" w:rsidRDefault="0010478B" w:rsidP="0010478B">
      <w:pPr>
        <w:pStyle w:val="ListBullet"/>
        <w:tabs>
          <w:tab w:val="clear" w:pos="360"/>
        </w:tabs>
        <w:autoSpaceDN/>
        <w:spacing w:after="120" w:line="260" w:lineRule="atLeast"/>
        <w:ind w:left="794" w:hanging="227"/>
        <w:contextualSpacing w:val="0"/>
        <w:textAlignment w:val="auto"/>
      </w:pPr>
      <w:r>
        <w:t xml:space="preserve">Documenting, </w:t>
      </w:r>
      <w:proofErr w:type="gramStart"/>
      <w:r>
        <w:t>collecting</w:t>
      </w:r>
      <w:proofErr w:type="gramEnd"/>
      <w:r>
        <w:t xml:space="preserve"> and recording OHS-related information, including accidents, injuries, near-misses and fatalities.</w:t>
      </w:r>
    </w:p>
    <w:p w14:paraId="2401C43C" w14:textId="77777777" w:rsidR="0010478B" w:rsidRDefault="0010478B" w:rsidP="0010478B">
      <w:pPr>
        <w:pStyle w:val="ListBullet"/>
        <w:tabs>
          <w:tab w:val="clear" w:pos="360"/>
        </w:tabs>
        <w:autoSpaceDN/>
        <w:spacing w:after="120" w:line="260" w:lineRule="atLeast"/>
        <w:ind w:left="794" w:hanging="227"/>
        <w:contextualSpacing w:val="0"/>
        <w:textAlignment w:val="auto"/>
      </w:pPr>
      <w:r>
        <w:t>Consulting the workforce on health and safety matters.</w:t>
      </w:r>
    </w:p>
    <w:p w14:paraId="455A20F6" w14:textId="26383060" w:rsidR="009814BB" w:rsidRDefault="0010478B" w:rsidP="0010478B">
      <w:r w:rsidRPr="0017590A">
        <w:t xml:space="preserve">Please follow up directly with </w:t>
      </w:r>
      <w:r w:rsidRPr="0017590A">
        <w:rPr>
          <w:highlight w:val="yellow"/>
        </w:rPr>
        <w:t>[</w:t>
      </w:r>
      <w:r>
        <w:rPr>
          <w:highlight w:val="yellow"/>
        </w:rPr>
        <w:t>OHS CONTACT</w:t>
      </w:r>
      <w:r w:rsidRPr="0017590A">
        <w:rPr>
          <w:highlight w:val="yellow"/>
        </w:rPr>
        <w:t>]</w:t>
      </w:r>
      <w:r w:rsidRPr="0017590A">
        <w:t xml:space="preserve"> if you have any specific health and safety questions or concerns.</w:t>
      </w:r>
    </w:p>
    <w:p w14:paraId="4B634716" w14:textId="77777777" w:rsidR="009814BB" w:rsidRDefault="009814BB" w:rsidP="0010478B"/>
    <w:p w14:paraId="7C85DB5F" w14:textId="77777777" w:rsidR="0010478B" w:rsidRDefault="0010478B" w:rsidP="0010478B">
      <w:pPr>
        <w:pStyle w:val="Heading2"/>
      </w:pPr>
      <w:r>
        <w:t xml:space="preserve">Privacy and employee data </w:t>
      </w:r>
    </w:p>
    <w:p w14:paraId="393EA59D" w14:textId="336442E4" w:rsidR="009814BB" w:rsidRDefault="0010478B" w:rsidP="0010478B">
      <w:r>
        <w:rPr>
          <w:highlight w:val="yellow"/>
        </w:rPr>
        <w:t>[ORGANISATION</w:t>
      </w:r>
      <w:r w:rsidRPr="00B65D61">
        <w:rPr>
          <w:highlight w:val="yellow"/>
        </w:rPr>
        <w:t>]</w:t>
      </w:r>
      <w:r>
        <w:t xml:space="preserve"> is committed to safeguarding employee privacy:</w:t>
      </w:r>
    </w:p>
    <w:p w14:paraId="78C61F5E" w14:textId="77777777" w:rsidR="0010478B" w:rsidRDefault="0010478B" w:rsidP="0010478B">
      <w:pPr>
        <w:pStyle w:val="ListBullet"/>
        <w:tabs>
          <w:tab w:val="clear" w:pos="360"/>
        </w:tabs>
        <w:autoSpaceDN/>
        <w:spacing w:after="120" w:line="260" w:lineRule="atLeast"/>
        <w:ind w:left="794" w:hanging="227"/>
        <w:contextualSpacing w:val="0"/>
        <w:textAlignment w:val="auto"/>
      </w:pPr>
      <w:r>
        <w:t>[</w:t>
      </w:r>
      <w:r w:rsidRPr="00217879">
        <w:rPr>
          <w:highlight w:val="yellow"/>
        </w:rPr>
        <w:t>HOW, AND WHAT INFORMATION IS COLLECTED OR MONITORED</w:t>
      </w:r>
      <w:r>
        <w:t>].</w:t>
      </w:r>
    </w:p>
    <w:p w14:paraId="63AE474B" w14:textId="77777777" w:rsidR="0010478B" w:rsidRDefault="0010478B" w:rsidP="0010478B">
      <w:pPr>
        <w:pStyle w:val="ListBullet"/>
        <w:tabs>
          <w:tab w:val="clear" w:pos="360"/>
        </w:tabs>
        <w:autoSpaceDN/>
        <w:spacing w:after="120" w:line="260" w:lineRule="atLeast"/>
        <w:ind w:left="794" w:hanging="227"/>
        <w:contextualSpacing w:val="0"/>
        <w:textAlignment w:val="auto"/>
      </w:pPr>
      <w:r>
        <w:lastRenderedPageBreak/>
        <w:t>[</w:t>
      </w:r>
      <w:r w:rsidRPr="00217879">
        <w:rPr>
          <w:highlight w:val="yellow"/>
        </w:rPr>
        <w:t>MEASURES IN PLACE TO PROTECT EMPLOYEE PRIVACY</w:t>
      </w:r>
      <w:r>
        <w:t>].</w:t>
      </w:r>
    </w:p>
    <w:p w14:paraId="2FF1E2B0" w14:textId="77777777" w:rsidR="0010478B" w:rsidRPr="00A15292" w:rsidRDefault="0010478B" w:rsidP="0010478B">
      <w:pPr>
        <w:pStyle w:val="ListBullet"/>
        <w:tabs>
          <w:tab w:val="clear" w:pos="360"/>
        </w:tabs>
        <w:autoSpaceDN/>
        <w:spacing w:after="120" w:line="260" w:lineRule="atLeast"/>
        <w:ind w:left="794" w:hanging="227"/>
        <w:contextualSpacing w:val="0"/>
        <w:textAlignment w:val="auto"/>
      </w:pPr>
      <w:r>
        <w:t>[</w:t>
      </w:r>
      <w:r w:rsidRPr="00217879">
        <w:rPr>
          <w:highlight w:val="yellow"/>
        </w:rPr>
        <w:t>HOW EMPLOYEES CAN RAISE PRIVACY CONCERNS, INCLUDING LINK TO GRIEVANCE PROCEDURE</w:t>
      </w:r>
      <w:r>
        <w:t>].</w:t>
      </w:r>
    </w:p>
    <w:sectPr w:rsidR="0010478B" w:rsidRPr="00A15292" w:rsidSect="00D2118A">
      <w:headerReference w:type="default" r:id="rId12"/>
      <w:footerReference w:type="default" r:id="rId13"/>
      <w:headerReference w:type="first" r:id="rId14"/>
      <w:footerReference w:type="first" r:id="rId15"/>
      <w:pgSz w:w="11906" w:h="16838"/>
      <w:pgMar w:top="1560" w:right="907" w:bottom="1702" w:left="907" w:header="567" w:footer="28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B344" w14:textId="77777777" w:rsidR="0047143D" w:rsidRDefault="0047143D">
      <w:pPr>
        <w:spacing w:after="384"/>
      </w:pPr>
      <w:r>
        <w:separator/>
      </w:r>
    </w:p>
  </w:endnote>
  <w:endnote w:type="continuationSeparator" w:id="0">
    <w:p w14:paraId="6B925094" w14:textId="77777777" w:rsidR="0047143D" w:rsidRDefault="0047143D">
      <w:pPr>
        <w:spacing w:after="384"/>
      </w:pPr>
      <w:r>
        <w:continuationSeparator/>
      </w:r>
    </w:p>
  </w:endnote>
  <w:endnote w:type="continuationNotice" w:id="1">
    <w:p w14:paraId="59B22F2F" w14:textId="77777777" w:rsidR="0047143D" w:rsidRDefault="004714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rial Unicode MS">
    <w:altName w:val="Arial"/>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4921" w14:textId="77777777" w:rsidR="0010478B" w:rsidRDefault="0010478B" w:rsidP="0010478B">
    <w:pPr>
      <w:pStyle w:val="Footer"/>
      <w:spacing w:after="384"/>
      <w:contextualSpacing/>
      <w:rPr>
        <w:sz w:val="18"/>
        <w:szCs w:val="18"/>
      </w:rPr>
    </w:pPr>
    <w:r w:rsidRPr="00A67F1C">
      <w:rPr>
        <w:sz w:val="18"/>
        <w:szCs w:val="18"/>
      </w:rPr>
      <w:t xml:space="preserve">British International Investment </w:t>
    </w:r>
    <w:r>
      <w:rPr>
        <w:sz w:val="18"/>
        <w:szCs w:val="18"/>
      </w:rPr>
      <w:t>plc</w:t>
    </w:r>
    <w:r w:rsidRPr="00A67F1C">
      <w:rPr>
        <w:sz w:val="18"/>
        <w:szCs w:val="18"/>
      </w:rPr>
      <w:t xml:space="preserve"> </w:t>
    </w:r>
    <w:r>
      <w:rPr>
        <w:sz w:val="18"/>
        <w:szCs w:val="18"/>
      </w:rPr>
      <w:t xml:space="preserve">is authorised and </w:t>
    </w:r>
    <w:r w:rsidRPr="00A67F1C">
      <w:rPr>
        <w:sz w:val="18"/>
        <w:szCs w:val="18"/>
      </w:rPr>
      <w:t xml:space="preserve">regulated by the Financial Conduct Authority.  </w:t>
    </w:r>
  </w:p>
  <w:p w14:paraId="3DDD1DE9" w14:textId="126247D5" w:rsidR="002B7EB1" w:rsidRPr="00C87F8A" w:rsidRDefault="0010478B" w:rsidP="0010478B">
    <w:pPr>
      <w:pStyle w:val="Footer"/>
      <w:spacing w:after="384"/>
    </w:pPr>
    <w:r w:rsidRPr="00A67F1C">
      <w:rPr>
        <w:sz w:val="18"/>
        <w:szCs w:val="18"/>
      </w:rPr>
      <w:t>Registered in England No. 3877777.</w:t>
    </w:r>
    <w:r w:rsidRPr="00A67F1C">
      <w:rPr>
        <w:sz w:val="18"/>
        <w:szCs w:val="18"/>
      </w:rPr>
      <w:br/>
      <w:t xml:space="preserve">Registered address: 123 Victoria Street, London, SW1E 6DE, UK.                                                                                  </w:t>
    </w:r>
    <w:r w:rsidRPr="00A67F1C">
      <w:rPr>
        <w:sz w:val="18"/>
        <w:szCs w:val="18"/>
      </w:rPr>
      <w:br/>
      <w:t>+44 20 7963 4700           bii.co.uk</w:t>
    </w:r>
    <w:r w:rsidRPr="00A67F1C">
      <w:rPr>
        <w:b/>
        <w:bCs/>
        <w:sz w:val="18"/>
        <w:szCs w:val="18"/>
      </w:rPr>
      <w:t xml:space="preserve">        </w:t>
    </w:r>
    <w:r w:rsidR="00C87F8A">
      <w:rPr>
        <w:b/>
        <w:bCs/>
        <w:szCs w:val="20"/>
      </w:rPr>
      <w:tab/>
    </w:r>
    <w:r w:rsidR="00C87F8A">
      <w:rPr>
        <w:b/>
        <w:bCs/>
        <w:szCs w:val="20"/>
      </w:rPr>
      <w:tab/>
    </w:r>
    <w:r w:rsidR="00C87F8A">
      <w:rPr>
        <w:b/>
        <w:bCs/>
        <w:szCs w:val="20"/>
      </w:rPr>
      <w:tab/>
      <w:t xml:space="preserve">          </w:t>
    </w:r>
    <w:r w:rsidR="00C87F8A" w:rsidRPr="002A5A21">
      <w:rPr>
        <w:szCs w:val="20"/>
      </w:rPr>
      <w:t xml:space="preserve">Page </w:t>
    </w:r>
    <w:r w:rsidR="00C87F8A" w:rsidRPr="002A5A21">
      <w:rPr>
        <w:b/>
        <w:bCs/>
        <w:szCs w:val="20"/>
      </w:rPr>
      <w:fldChar w:fldCharType="begin"/>
    </w:r>
    <w:r w:rsidR="00C87F8A" w:rsidRPr="002A5A21">
      <w:rPr>
        <w:b/>
        <w:bCs/>
        <w:szCs w:val="20"/>
      </w:rPr>
      <w:instrText xml:space="preserve"> PAGE  \* Arabic  \* MERGEFORMAT </w:instrText>
    </w:r>
    <w:r w:rsidR="00C87F8A" w:rsidRPr="002A5A21">
      <w:rPr>
        <w:b/>
        <w:bCs/>
        <w:szCs w:val="20"/>
      </w:rPr>
      <w:fldChar w:fldCharType="separate"/>
    </w:r>
    <w:r w:rsidR="00C87F8A">
      <w:rPr>
        <w:b/>
        <w:bCs/>
        <w:szCs w:val="20"/>
      </w:rPr>
      <w:t>1</w:t>
    </w:r>
    <w:r w:rsidR="00C87F8A" w:rsidRPr="002A5A21">
      <w:rPr>
        <w:b/>
        <w:bCs/>
        <w:szCs w:val="20"/>
      </w:rPr>
      <w:fldChar w:fldCharType="end"/>
    </w:r>
    <w:r w:rsidR="00C87F8A" w:rsidRPr="002A5A21">
      <w:rPr>
        <w:szCs w:val="20"/>
      </w:rPr>
      <w:t xml:space="preserve"> of </w:t>
    </w:r>
    <w:r w:rsidR="00C87F8A" w:rsidRPr="002A5A21">
      <w:rPr>
        <w:b/>
        <w:bCs/>
        <w:szCs w:val="20"/>
      </w:rPr>
      <w:fldChar w:fldCharType="begin"/>
    </w:r>
    <w:r w:rsidR="00C87F8A" w:rsidRPr="002A5A21">
      <w:rPr>
        <w:b/>
        <w:bCs/>
        <w:szCs w:val="20"/>
      </w:rPr>
      <w:instrText xml:space="preserve"> NUMPAGES  \* Arabic  \* MERGEFORMAT </w:instrText>
    </w:r>
    <w:r w:rsidR="00C87F8A" w:rsidRPr="002A5A21">
      <w:rPr>
        <w:b/>
        <w:bCs/>
        <w:szCs w:val="20"/>
      </w:rPr>
      <w:fldChar w:fldCharType="separate"/>
    </w:r>
    <w:r w:rsidR="00C87F8A">
      <w:rPr>
        <w:b/>
        <w:bCs/>
        <w:szCs w:val="20"/>
      </w:rPr>
      <w:t>2</w:t>
    </w:r>
    <w:r w:rsidR="00C87F8A" w:rsidRPr="002A5A21">
      <w:rPr>
        <w:b/>
        <w:bCs/>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57ED" w14:textId="77777777" w:rsidR="007C1DD7" w:rsidRDefault="002A5A21" w:rsidP="002A5A21">
    <w:pPr>
      <w:pStyle w:val="Footer"/>
      <w:spacing w:after="384"/>
      <w:contextualSpacing/>
      <w:rPr>
        <w:sz w:val="18"/>
        <w:szCs w:val="18"/>
      </w:rPr>
    </w:pPr>
    <w:r w:rsidRPr="00A67F1C">
      <w:rPr>
        <w:sz w:val="18"/>
        <w:szCs w:val="18"/>
      </w:rPr>
      <w:t xml:space="preserve">British International Investment </w:t>
    </w:r>
    <w:r w:rsidR="00A67F1C">
      <w:rPr>
        <w:sz w:val="18"/>
        <w:szCs w:val="18"/>
      </w:rPr>
      <w:t>plc</w:t>
    </w:r>
    <w:r w:rsidRPr="00A67F1C">
      <w:rPr>
        <w:sz w:val="18"/>
        <w:szCs w:val="18"/>
      </w:rPr>
      <w:t xml:space="preserve"> </w:t>
    </w:r>
    <w:r w:rsidR="007C1DD7">
      <w:rPr>
        <w:sz w:val="18"/>
        <w:szCs w:val="18"/>
      </w:rPr>
      <w:t>is authorised and</w:t>
    </w:r>
    <w:r w:rsidR="00085987">
      <w:rPr>
        <w:sz w:val="18"/>
        <w:szCs w:val="18"/>
      </w:rPr>
      <w:t xml:space="preserve"> </w:t>
    </w:r>
    <w:r w:rsidRPr="00A67F1C">
      <w:rPr>
        <w:sz w:val="18"/>
        <w:szCs w:val="18"/>
      </w:rPr>
      <w:t xml:space="preserve">regulated by the Financial Conduct Authority.  </w:t>
    </w:r>
  </w:p>
  <w:p w14:paraId="6FA1EF91" w14:textId="77777777" w:rsidR="002A5A21" w:rsidRPr="00A67F1C" w:rsidRDefault="003B40ED" w:rsidP="002A5A21">
    <w:pPr>
      <w:pStyle w:val="Footer"/>
      <w:spacing w:after="384"/>
      <w:contextualSpacing/>
      <w:rPr>
        <w:sz w:val="18"/>
        <w:szCs w:val="18"/>
      </w:rPr>
    </w:pPr>
    <w:r w:rsidRPr="00A67F1C">
      <w:rPr>
        <w:sz w:val="18"/>
        <w:szCs w:val="18"/>
      </w:rPr>
      <w:t>Registered in England No. 3877777.</w:t>
    </w:r>
    <w:r w:rsidR="002A5A21" w:rsidRPr="00A67F1C">
      <w:rPr>
        <w:sz w:val="18"/>
        <w:szCs w:val="18"/>
      </w:rPr>
      <w:br/>
      <w:t>Registered address: 123 Victoria Street, London, SW1E 6DE, UK.</w:t>
    </w:r>
    <w:r w:rsidR="009A7F40" w:rsidRPr="00A67F1C">
      <w:rPr>
        <w:sz w:val="18"/>
        <w:szCs w:val="18"/>
      </w:rPr>
      <w:t xml:space="preserve">      </w:t>
    </w:r>
    <w:r w:rsidRPr="00A67F1C">
      <w:rPr>
        <w:sz w:val="18"/>
        <w:szCs w:val="18"/>
      </w:rPr>
      <w:t xml:space="preserve">                                                                            </w:t>
    </w:r>
    <w:r w:rsidR="00C87F8A" w:rsidRPr="00A67F1C">
      <w:rPr>
        <w:sz w:val="18"/>
        <w:szCs w:val="18"/>
      </w:rPr>
      <w:br/>
    </w:r>
    <w:r w:rsidR="002A5A21" w:rsidRPr="00A67F1C">
      <w:rPr>
        <w:sz w:val="18"/>
        <w:szCs w:val="18"/>
      </w:rPr>
      <w:t>+44 20 7963 4700           bii.co.uk</w:t>
    </w:r>
    <w:r w:rsidR="002A5A21" w:rsidRPr="00A67F1C">
      <w:rPr>
        <w:b/>
        <w:bCs/>
        <w:sz w:val="18"/>
        <w:szCs w:val="18"/>
      </w:rPr>
      <w:t xml:space="preserve">        </w:t>
    </w:r>
    <w:r w:rsidR="00C87F8A" w:rsidRPr="00A67F1C">
      <w:rPr>
        <w:b/>
        <w:bCs/>
        <w:sz w:val="18"/>
        <w:szCs w:val="18"/>
      </w:rPr>
      <w:tab/>
    </w:r>
    <w:r w:rsidR="00C87F8A" w:rsidRPr="00A67F1C">
      <w:rPr>
        <w:b/>
        <w:bCs/>
        <w:sz w:val="18"/>
        <w:szCs w:val="18"/>
      </w:rPr>
      <w:tab/>
    </w:r>
    <w:r w:rsidR="00C87F8A" w:rsidRPr="00A67F1C">
      <w:rPr>
        <w:b/>
        <w:bCs/>
        <w:sz w:val="18"/>
        <w:szCs w:val="18"/>
      </w:rPr>
      <w:tab/>
      <w:t xml:space="preserve">          </w:t>
    </w:r>
    <w:r w:rsidR="00C87F8A" w:rsidRPr="00A67F1C">
      <w:rPr>
        <w:sz w:val="18"/>
        <w:szCs w:val="18"/>
      </w:rPr>
      <w:t xml:space="preserve">Page </w:t>
    </w:r>
    <w:r w:rsidR="00C87F8A" w:rsidRPr="00A67F1C">
      <w:rPr>
        <w:b/>
        <w:bCs/>
        <w:sz w:val="18"/>
        <w:szCs w:val="18"/>
      </w:rPr>
      <w:fldChar w:fldCharType="begin"/>
    </w:r>
    <w:r w:rsidR="00C87F8A" w:rsidRPr="00A67F1C">
      <w:rPr>
        <w:b/>
        <w:bCs/>
        <w:sz w:val="18"/>
        <w:szCs w:val="18"/>
      </w:rPr>
      <w:instrText xml:space="preserve"> PAGE  \* Arabic  \* MERGEFORMAT </w:instrText>
    </w:r>
    <w:r w:rsidR="00C87F8A" w:rsidRPr="00A67F1C">
      <w:rPr>
        <w:b/>
        <w:bCs/>
        <w:sz w:val="18"/>
        <w:szCs w:val="18"/>
      </w:rPr>
      <w:fldChar w:fldCharType="separate"/>
    </w:r>
    <w:r w:rsidR="00C87F8A" w:rsidRPr="00A67F1C">
      <w:rPr>
        <w:b/>
        <w:bCs/>
        <w:sz w:val="18"/>
        <w:szCs w:val="18"/>
      </w:rPr>
      <w:t>1</w:t>
    </w:r>
    <w:r w:rsidR="00C87F8A" w:rsidRPr="00A67F1C">
      <w:rPr>
        <w:b/>
        <w:bCs/>
        <w:sz w:val="18"/>
        <w:szCs w:val="18"/>
      </w:rPr>
      <w:fldChar w:fldCharType="end"/>
    </w:r>
    <w:r w:rsidR="00C87F8A" w:rsidRPr="00A67F1C">
      <w:rPr>
        <w:sz w:val="18"/>
        <w:szCs w:val="18"/>
      </w:rPr>
      <w:t xml:space="preserve"> of </w:t>
    </w:r>
    <w:r w:rsidR="00C87F8A" w:rsidRPr="00A67F1C">
      <w:rPr>
        <w:b/>
        <w:bCs/>
        <w:sz w:val="18"/>
        <w:szCs w:val="18"/>
      </w:rPr>
      <w:fldChar w:fldCharType="begin"/>
    </w:r>
    <w:r w:rsidR="00C87F8A" w:rsidRPr="00A67F1C">
      <w:rPr>
        <w:b/>
        <w:bCs/>
        <w:sz w:val="18"/>
        <w:szCs w:val="18"/>
      </w:rPr>
      <w:instrText xml:space="preserve"> NUMPAGES  \* Arabic  \* MERGEFORMAT </w:instrText>
    </w:r>
    <w:r w:rsidR="00C87F8A" w:rsidRPr="00A67F1C">
      <w:rPr>
        <w:b/>
        <w:bCs/>
        <w:sz w:val="18"/>
        <w:szCs w:val="18"/>
      </w:rPr>
      <w:fldChar w:fldCharType="separate"/>
    </w:r>
    <w:r w:rsidR="00C87F8A" w:rsidRPr="00A67F1C">
      <w:rPr>
        <w:b/>
        <w:bCs/>
        <w:sz w:val="18"/>
        <w:szCs w:val="18"/>
      </w:rPr>
      <w:t>2</w:t>
    </w:r>
    <w:r w:rsidR="00C87F8A" w:rsidRPr="00A67F1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7EB7" w14:textId="77777777" w:rsidR="0047143D" w:rsidRDefault="0047143D">
      <w:pPr>
        <w:spacing w:after="384"/>
      </w:pPr>
      <w:r>
        <w:rPr>
          <w:color w:val="000000"/>
        </w:rPr>
        <w:separator/>
      </w:r>
    </w:p>
  </w:footnote>
  <w:footnote w:type="continuationSeparator" w:id="0">
    <w:p w14:paraId="377CF4C3" w14:textId="77777777" w:rsidR="0047143D" w:rsidRDefault="0047143D">
      <w:pPr>
        <w:spacing w:after="384"/>
      </w:pPr>
      <w:r>
        <w:continuationSeparator/>
      </w:r>
    </w:p>
  </w:footnote>
  <w:footnote w:type="continuationNotice" w:id="1">
    <w:p w14:paraId="14D10918" w14:textId="77777777" w:rsidR="0047143D" w:rsidRDefault="0047143D">
      <w:pPr>
        <w:spacing w:line="240" w:lineRule="auto"/>
      </w:pPr>
    </w:p>
  </w:footnote>
  <w:footnote w:id="2">
    <w:p w14:paraId="6D9236A1" w14:textId="77777777" w:rsidR="0010478B" w:rsidRPr="000A3F92" w:rsidRDefault="0010478B" w:rsidP="0010478B">
      <w:pPr>
        <w:pStyle w:val="FootnoteText"/>
        <w:rPr>
          <w:lang w:val="en-US"/>
        </w:rPr>
      </w:pPr>
      <w:r>
        <w:rPr>
          <w:rStyle w:val="FootnoteReference"/>
        </w:rPr>
        <w:footnoteRef/>
      </w:r>
      <w:r>
        <w:t xml:space="preserve"> </w:t>
      </w:r>
      <w:r>
        <w:rPr>
          <w:lang w:val="en-US"/>
        </w:rPr>
        <w:t>For further guidance on developing a GBVH policy, see [</w:t>
      </w:r>
      <w:r w:rsidRPr="000A3F92">
        <w:rPr>
          <w:highlight w:val="yellow"/>
          <w:lang w:val="en-US"/>
        </w:rPr>
        <w:t xml:space="preserve">insert cross-reference to BII </w:t>
      </w:r>
      <w:r>
        <w:rPr>
          <w:highlight w:val="yellow"/>
          <w:lang w:val="en-US"/>
        </w:rPr>
        <w:t>t</w:t>
      </w:r>
      <w:r w:rsidRPr="000A3F92">
        <w:rPr>
          <w:highlight w:val="yellow"/>
          <w:lang w:val="en-US"/>
        </w:rPr>
        <w:t>emplate for GBVH policy</w:t>
      </w:r>
      <w:r>
        <w:rPr>
          <w:lang w:val="en-US"/>
        </w:rPr>
        <w:t>].</w:t>
      </w:r>
    </w:p>
  </w:footnote>
  <w:footnote w:id="3">
    <w:p w14:paraId="1D469D46" w14:textId="77777777" w:rsidR="0010478B" w:rsidRDefault="0010478B" w:rsidP="0010478B">
      <w:pPr>
        <w:pStyle w:val="FootnoteText"/>
      </w:pPr>
      <w:r>
        <w:rPr>
          <w:rStyle w:val="FootnoteReference"/>
        </w:rPr>
        <w:footnoteRef/>
      </w:r>
      <w:r>
        <w:t xml:space="preserve"> Collective dismissal refers to all instances of multiple dismissal as a result of economic, technical or organisational reasons, or any other reason unrelated to a worker’s performance or personal reasons.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F595" w14:textId="2EAB0843" w:rsidR="0010478B" w:rsidRDefault="0010478B">
    <w:pPr>
      <w:pStyle w:val="Header"/>
    </w:pPr>
    <w:r>
      <w:rPr>
        <w:noProof/>
      </w:rPr>
      <w:drawing>
        <wp:anchor distT="0" distB="0" distL="114300" distR="114300" simplePos="0" relativeHeight="251653120" behindDoc="0" locked="0" layoutInCell="1" allowOverlap="1" wp14:anchorId="1931803D" wp14:editId="159DE954">
          <wp:simplePos x="0" y="0"/>
          <wp:positionH relativeFrom="column">
            <wp:posOffset>0</wp:posOffset>
          </wp:positionH>
          <wp:positionV relativeFrom="paragraph">
            <wp:posOffset>-252095</wp:posOffset>
          </wp:positionV>
          <wp:extent cx="1917989" cy="738000"/>
          <wp:effectExtent l="0" t="0" r="0" b="0"/>
          <wp:wrapNone/>
          <wp:docPr id="6" name="Picture 6" descr="A black background with text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1394" name="Picture 1" descr="A black background with text and a red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989" cy="73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0344DAED" wp14:editId="051362F7">
          <wp:simplePos x="0" y="0"/>
          <wp:positionH relativeFrom="column">
            <wp:posOffset>2526665</wp:posOffset>
          </wp:positionH>
          <wp:positionV relativeFrom="paragraph">
            <wp:posOffset>68580</wp:posOffset>
          </wp:positionV>
          <wp:extent cx="1340485" cy="427990"/>
          <wp:effectExtent l="0" t="0" r="0" b="0"/>
          <wp:wrapSquare wrapText="bothSides"/>
          <wp:docPr id="3" name="Picture 3" descr="VentureESG logo | The Nasdaq Entrepreneuri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ureESG logo | The Nasdaq Entrepreneurial Cen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05F">
      <w:rPr>
        <w:noProof/>
      </w:rPr>
      <w:drawing>
        <wp:anchor distT="0" distB="0" distL="114300" distR="114300" simplePos="0" relativeHeight="251661312" behindDoc="0" locked="0" layoutInCell="1" allowOverlap="1" wp14:anchorId="2EF1C82A" wp14:editId="3BA2338F">
          <wp:simplePos x="0" y="0"/>
          <wp:positionH relativeFrom="column">
            <wp:posOffset>5574665</wp:posOffset>
          </wp:positionH>
          <wp:positionV relativeFrom="paragraph">
            <wp:posOffset>66675</wp:posOffset>
          </wp:positionV>
          <wp:extent cx="828675" cy="4286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828675" cy="428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3743" w14:textId="7F437D10" w:rsidR="002B7EB1" w:rsidRDefault="0010478B" w:rsidP="00D213DB">
    <w:pPr>
      <w:spacing w:after="384"/>
      <w:ind w:left="-142"/>
    </w:pPr>
    <w:r>
      <w:rPr>
        <w:noProof/>
      </w:rPr>
      <w:drawing>
        <wp:anchor distT="0" distB="0" distL="114300" distR="114300" simplePos="0" relativeHeight="251665408" behindDoc="0" locked="0" layoutInCell="1" allowOverlap="1" wp14:anchorId="39465977" wp14:editId="31AEF9B0">
          <wp:simplePos x="0" y="0"/>
          <wp:positionH relativeFrom="column">
            <wp:posOffset>2533650</wp:posOffset>
          </wp:positionH>
          <wp:positionV relativeFrom="paragraph">
            <wp:posOffset>59055</wp:posOffset>
          </wp:positionV>
          <wp:extent cx="1340485" cy="427990"/>
          <wp:effectExtent l="0" t="0" r="0" b="0"/>
          <wp:wrapSquare wrapText="bothSides"/>
          <wp:docPr id="7" name="Picture 7" descr="VentureESG logo | The Nasdaq Entrepreneuri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tureESG logo | The Nasdaq Entrepreneurial Cen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048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05F">
      <w:rPr>
        <w:noProof/>
      </w:rPr>
      <w:drawing>
        <wp:anchor distT="0" distB="0" distL="114300" distR="114300" simplePos="0" relativeHeight="251669504" behindDoc="0" locked="0" layoutInCell="1" allowOverlap="1" wp14:anchorId="509629EE" wp14:editId="010B830B">
          <wp:simplePos x="0" y="0"/>
          <wp:positionH relativeFrom="column">
            <wp:posOffset>5581650</wp:posOffset>
          </wp:positionH>
          <wp:positionV relativeFrom="paragraph">
            <wp:posOffset>57150</wp:posOffset>
          </wp:positionV>
          <wp:extent cx="828675" cy="4286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28675" cy="428625"/>
                  </a:xfrm>
                  <a:prstGeom prst="rect">
                    <a:avLst/>
                  </a:prstGeom>
                </pic:spPr>
              </pic:pic>
            </a:graphicData>
          </a:graphic>
          <wp14:sizeRelH relativeFrom="page">
            <wp14:pctWidth>0</wp14:pctWidth>
          </wp14:sizeRelH>
          <wp14:sizeRelV relativeFrom="page">
            <wp14:pctHeight>0</wp14:pctHeight>
          </wp14:sizeRelV>
        </wp:anchor>
      </w:drawing>
    </w:r>
    <w:r w:rsidR="00C8669C">
      <w:rPr>
        <w:noProof/>
      </w:rPr>
      <w:drawing>
        <wp:anchor distT="0" distB="0" distL="114300" distR="114300" simplePos="0" relativeHeight="251649024" behindDoc="0" locked="0" layoutInCell="1" allowOverlap="1" wp14:anchorId="60624ED0" wp14:editId="36765B67">
          <wp:simplePos x="0" y="0"/>
          <wp:positionH relativeFrom="column">
            <wp:posOffset>-50165</wp:posOffset>
          </wp:positionH>
          <wp:positionV relativeFrom="paragraph">
            <wp:posOffset>-180975</wp:posOffset>
          </wp:positionV>
          <wp:extent cx="1917989" cy="738000"/>
          <wp:effectExtent l="0" t="0" r="0" b="0"/>
          <wp:wrapNone/>
          <wp:docPr id="46781394" name="Picture 1" descr="A black background with text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1394" name="Picture 1" descr="A black background with text and a red arrow&#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7989" cy="73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3A721" w14:textId="77777777" w:rsidR="002B7EB1" w:rsidRDefault="002B7EB1">
    <w:pPr>
      <w:spacing w:after="38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938B976"/>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D97E441A"/>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19C032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440153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5054D5"/>
    <w:multiLevelType w:val="multilevel"/>
    <w:tmpl w:val="0809001D"/>
    <w:styleLink w:val="Style2"/>
    <w:lvl w:ilvl="0">
      <w:start w:val="1"/>
      <w:numFmt w:val="bullet"/>
      <w:lvlText w:val="‒"/>
      <w:lvlJc w:val="left"/>
      <w:pPr>
        <w:ind w:left="360" w:hanging="360"/>
      </w:pPr>
      <w:rPr>
        <w:rFonts w:ascii="Arial" w:hAnsi="Arial" w:hint="default"/>
        <w:b/>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bullet"/>
      <w:lvlText w:val="▪"/>
      <w:lvlJc w:val="left"/>
      <w:pPr>
        <w:ind w:left="1080" w:hanging="360"/>
      </w:pPr>
      <w:rPr>
        <w:rFonts w:ascii="Arial" w:hAnsi="Arial" w:hint="default"/>
        <w:color w:val="A4B2A5" w:themeColor="accent2"/>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284228"/>
    <w:multiLevelType w:val="multilevel"/>
    <w:tmpl w:val="7FA0BCB0"/>
    <w:styleLink w:val="Style8"/>
    <w:lvl w:ilvl="0">
      <w:start w:val="1"/>
      <w:numFmt w:val="bullet"/>
      <w:lvlText w:val=""/>
      <w:lvlJc w:val="left"/>
      <w:pPr>
        <w:tabs>
          <w:tab w:val="num" w:pos="360"/>
        </w:tabs>
        <w:ind w:left="360" w:hanging="360"/>
      </w:pPr>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15:restartNumberingAfterBreak="0">
    <w:nsid w:val="12EE6BB3"/>
    <w:multiLevelType w:val="multilevel"/>
    <w:tmpl w:val="6824A1C6"/>
    <w:styleLink w:val="Style7"/>
    <w:lvl w:ilvl="0">
      <w:start w:val="1"/>
      <w:numFmt w:val="bullet"/>
      <w:lvlText w:val=""/>
      <w:lvlJc w:val="left"/>
      <w:pPr>
        <w:ind w:left="720" w:hanging="360"/>
      </w:pPr>
      <w:rPr>
        <w:rFonts w:ascii="Cambria" w:hAnsi="Cambria" w:hint="default"/>
        <w:sz w:val="24"/>
      </w:rPr>
    </w:lvl>
    <w:lvl w:ilvl="1">
      <w:start w:val="1"/>
      <w:numFmt w:val="bullet"/>
      <w:lvlText w:val="‒"/>
      <w:lvlJc w:val="left"/>
      <w:pPr>
        <w:ind w:left="1440" w:hanging="360"/>
      </w:pPr>
      <w:rPr>
        <w:rFonts w:ascii="Arial" w:hAnsi="Arial" w:hint="default"/>
        <w:color w:val="A4B2A5" w:themeColor="text2"/>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F11B0B"/>
    <w:multiLevelType w:val="multilevel"/>
    <w:tmpl w:val="4ADC661A"/>
    <w:styleLink w:val="LFO21"/>
    <w:lvl w:ilvl="0">
      <w:numFmt w:val="bullet"/>
      <w:lvlText w:val="‒"/>
      <w:lvlJc w:val="left"/>
      <w:pPr>
        <w:ind w:left="587" w:hanging="360"/>
      </w:pPr>
      <w:rPr>
        <w:rFonts w:ascii="Calibri" w:hAnsi="Calibri"/>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21516A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CF4BAE"/>
    <w:multiLevelType w:val="multilevel"/>
    <w:tmpl w:val="0809001D"/>
    <w:styleLink w:val="BIIbullet"/>
    <w:lvl w:ilvl="0">
      <w:start w:val="1"/>
      <w:numFmt w:val="bullet"/>
      <w:lvlText w:val="‒"/>
      <w:lvlJc w:val="left"/>
      <w:pPr>
        <w:ind w:left="360" w:hanging="360"/>
      </w:pPr>
      <w:rPr>
        <w:rFonts w:ascii="Cambria" w:hAnsi="Cambria" w:hint="default"/>
        <w:color w:val="A4B2A5" w:themeColor="accen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215F8B"/>
    <w:multiLevelType w:val="hybridMultilevel"/>
    <w:tmpl w:val="5A2A689E"/>
    <w:lvl w:ilvl="0" w:tplc="E8C6B03A">
      <w:start w:val="1"/>
      <w:numFmt w:val="bullet"/>
      <w:pStyle w:val="Bulletlevel2"/>
      <w:lvlText w:val="ꟷ"/>
      <w:lvlJc w:val="left"/>
      <w:pPr>
        <w:ind w:left="643" w:hanging="360"/>
      </w:pPr>
      <w:rPr>
        <w:rFonts w:ascii="Arial" w:hAnsi="Arial" w:hint="default"/>
        <w:b w:val="0"/>
        <w:i w:val="0"/>
        <w:color w:val="auto"/>
        <w:sz w:val="24"/>
        <w:szCs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1" w15:restartNumberingAfterBreak="0">
    <w:nsid w:val="28E62817"/>
    <w:multiLevelType w:val="multilevel"/>
    <w:tmpl w:val="A7E45E88"/>
    <w:styleLink w:val="ErgonList"/>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680" w:hanging="340"/>
      </w:pPr>
      <w:rPr>
        <w:rFonts w:hint="default"/>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F73CA8"/>
    <w:multiLevelType w:val="hybridMultilevel"/>
    <w:tmpl w:val="8108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C3E93"/>
    <w:multiLevelType w:val="multilevel"/>
    <w:tmpl w:val="1102C900"/>
    <w:styleLink w:val="Style4"/>
    <w:lvl w:ilvl="0">
      <w:start w:val="1"/>
      <w:numFmt w:val="decimal"/>
      <w:lvlText w:val="%1"/>
      <w:lvlJc w:val="left"/>
      <w:pPr>
        <w:ind w:left="360" w:hanging="360"/>
      </w:pPr>
      <w:rPr>
        <w:rFonts w:ascii="Cambria" w:hAnsi="Cambria" w:hint="default"/>
        <w:b w:val="0"/>
        <w:color w:val="A4B2A5"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912B0A"/>
    <w:multiLevelType w:val="hybridMultilevel"/>
    <w:tmpl w:val="BB66B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239E9"/>
    <w:multiLevelType w:val="multilevel"/>
    <w:tmpl w:val="5CEC498A"/>
    <w:styleLink w:val="Style1"/>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ambria" w:hAnsi="Cambria" w:hint="default"/>
        <w:color w:val="A4B2A5"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51E41"/>
    <w:multiLevelType w:val="multilevel"/>
    <w:tmpl w:val="99921A7A"/>
    <w:styleLink w:val="LFO22"/>
    <w:lvl w:ilvl="0">
      <w:start w:val="1"/>
      <w:numFmt w:val="decimal"/>
      <w:lvlText w:val="%1."/>
      <w:lvlJc w:val="left"/>
      <w:pPr>
        <w:ind w:left="70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15:restartNumberingAfterBreak="0">
    <w:nsid w:val="3AA642F0"/>
    <w:multiLevelType w:val="multilevel"/>
    <w:tmpl w:val="0809001F"/>
    <w:numStyleLink w:val="11numberbullet"/>
  </w:abstractNum>
  <w:abstractNum w:abstractNumId="18" w15:restartNumberingAfterBreak="0">
    <w:nsid w:val="3D291027"/>
    <w:multiLevelType w:val="multilevel"/>
    <w:tmpl w:val="0809001F"/>
    <w:numStyleLink w:val="11numberbullet"/>
  </w:abstractNum>
  <w:abstractNum w:abstractNumId="19" w15:restartNumberingAfterBreak="0">
    <w:nsid w:val="418A14A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265D5B"/>
    <w:multiLevelType w:val="multilevel"/>
    <w:tmpl w:val="A7E45E88"/>
    <w:numStyleLink w:val="ErgonList"/>
  </w:abstractNum>
  <w:abstractNum w:abstractNumId="21" w15:restartNumberingAfterBreak="0">
    <w:nsid w:val="4381786F"/>
    <w:multiLevelType w:val="hybridMultilevel"/>
    <w:tmpl w:val="59C2FD06"/>
    <w:lvl w:ilvl="0" w:tplc="9D0A2F0E">
      <w:start w:val="1"/>
      <w:numFmt w:val="decimal"/>
      <w:pStyle w:val="Numberlistlevel1"/>
      <w:lvlText w:val="%1."/>
      <w:lvlJc w:val="left"/>
      <w:pPr>
        <w:ind w:left="720" w:hanging="360"/>
      </w:pPr>
      <w:rPr>
        <w:rFonts w:ascii="Cambria" w:hAnsi="Cambria" w:hint="default"/>
        <w:b w:val="0"/>
        <w:i w:val="0"/>
        <w:color w:val="auto"/>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FF3706"/>
    <w:multiLevelType w:val="multilevel"/>
    <w:tmpl w:val="0809001D"/>
    <w:styleLink w:val="Style3"/>
    <w:lvl w:ilvl="0">
      <w:start w:val="1"/>
      <w:numFmt w:val="decimal"/>
      <w:lvlText w:val="%1)"/>
      <w:lvlJc w:val="left"/>
      <w:pPr>
        <w:ind w:left="360" w:hanging="360"/>
      </w:pPr>
      <w:rPr>
        <w:rFonts w:ascii="Cambria" w:hAnsi="Cambria"/>
        <w:color w:val="A4B2A5" w:themeColor="text2"/>
        <w:sz w:val="24"/>
      </w:rPr>
    </w:lvl>
    <w:lvl w:ilvl="1">
      <w:start w:val="1"/>
      <w:numFmt w:val="bullet"/>
      <w:lvlText w:val="‒"/>
      <w:lvlJc w:val="left"/>
      <w:pPr>
        <w:ind w:left="720" w:hanging="360"/>
      </w:pPr>
      <w:rPr>
        <w:rFonts w:ascii="Cambria" w:hAnsi="Cambria" w:hint="default"/>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EE09F1"/>
    <w:multiLevelType w:val="multilevel"/>
    <w:tmpl w:val="02BE8086"/>
    <w:styleLink w:val="Style6"/>
    <w:lvl w:ilvl="0">
      <w:start w:val="1"/>
      <w:numFmt w:val="decimal"/>
      <w:lvlText w:val="%1"/>
      <w:lvlJc w:val="left"/>
      <w:pPr>
        <w:ind w:left="360" w:hanging="360"/>
      </w:pPr>
      <w:rPr>
        <w:rFonts w:ascii="Cambria" w:hAnsi="Cambria" w:hint="default"/>
        <w:color w:val="A4B2A5" w:themeColor="text2"/>
        <w:sz w:val="24"/>
      </w:rPr>
    </w:lvl>
    <w:lvl w:ilvl="1">
      <w:start w:val="1"/>
      <w:numFmt w:val="bullet"/>
      <w:lvlText w:val="‒"/>
      <w:lvlJc w:val="left"/>
      <w:pPr>
        <w:ind w:left="720" w:hanging="360"/>
      </w:pPr>
      <w:rPr>
        <w:rFonts w:ascii="Arial" w:hAnsi="Arial" w:hint="default"/>
        <w:color w:val="A4B2A5" w:themeColor="accent2"/>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6D497D"/>
    <w:multiLevelType w:val="hybridMultilevel"/>
    <w:tmpl w:val="F134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93312"/>
    <w:multiLevelType w:val="hybridMultilevel"/>
    <w:tmpl w:val="00B43748"/>
    <w:lvl w:ilvl="0" w:tplc="5AF4A696">
      <w:start w:val="1"/>
      <w:numFmt w:val="bullet"/>
      <w:lvlText w:val=""/>
      <w:lvlJc w:val="left"/>
      <w:pPr>
        <w:ind w:left="3600" w:hanging="360"/>
      </w:pPr>
      <w:rPr>
        <w:rFonts w:ascii="Symbol" w:hAnsi="Symbol" w:hint="default"/>
        <w:b w:val="0"/>
        <w:i w:val="0"/>
        <w:color w:val="auto"/>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72B00952"/>
    <w:multiLevelType w:val="hybridMultilevel"/>
    <w:tmpl w:val="9C62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01F3C"/>
    <w:multiLevelType w:val="multilevel"/>
    <w:tmpl w:val="CF903CC0"/>
    <w:styleLink w:val="LFO19"/>
    <w:lvl w:ilvl="0">
      <w:numFmt w:val="bullet"/>
      <w:lvlText w:val=""/>
      <w:lvlJc w:val="left"/>
      <w:pPr>
        <w:ind w:left="360" w:hanging="360"/>
      </w:pPr>
      <w:rPr>
        <w:rFonts w:hAnsi="Symbo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15:restartNumberingAfterBreak="0">
    <w:nsid w:val="76F26516"/>
    <w:multiLevelType w:val="multilevel"/>
    <w:tmpl w:val="0809001D"/>
    <w:styleLink w:val="Style5"/>
    <w:lvl w:ilvl="0">
      <w:start w:val="1"/>
      <w:numFmt w:val="decimal"/>
      <w:lvlText w:val="%1)"/>
      <w:lvlJc w:val="left"/>
      <w:pPr>
        <w:ind w:left="360" w:hanging="360"/>
      </w:pPr>
    </w:lvl>
    <w:lvl w:ilvl="1">
      <w:start w:val="1"/>
      <w:numFmt w:val="bullet"/>
      <w:lvlText w:val="‒"/>
      <w:lvlJc w:val="left"/>
      <w:pPr>
        <w:ind w:left="720" w:hanging="360"/>
      </w:pPr>
      <w:rPr>
        <w:rFonts w:ascii="Arial" w:hAnsi="Arial" w:hint="default"/>
        <w:b/>
        <w:color w:val="A4B2A5" w:themeColor="accent2"/>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7112394"/>
    <w:multiLevelType w:val="multilevel"/>
    <w:tmpl w:val="1F66DF48"/>
    <w:styleLink w:val="LFO20"/>
    <w:lvl w:ilvl="0">
      <w:start w:val="1"/>
      <w:numFmt w:val="decimal"/>
      <w:lvlText w:val="%1."/>
      <w:lvlJc w:val="left"/>
      <w:pPr>
        <w:ind w:left="360" w:hanging="360"/>
      </w:pPr>
      <w:rPr>
        <w:b/>
        <w:i w:val="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0" w15:restartNumberingAfterBreak="0">
    <w:nsid w:val="7C325190"/>
    <w:multiLevelType w:val="multilevel"/>
    <w:tmpl w:val="E358262E"/>
    <w:styleLink w:val="BIIbullets"/>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color w:val="A4B2A5"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551193"/>
    <w:multiLevelType w:val="multilevel"/>
    <w:tmpl w:val="A7E45E88"/>
    <w:numStyleLink w:val="ErgonList"/>
  </w:abstractNum>
  <w:abstractNum w:abstractNumId="32" w15:restartNumberingAfterBreak="0">
    <w:nsid w:val="7D56332C"/>
    <w:multiLevelType w:val="multilevel"/>
    <w:tmpl w:val="0809001F"/>
    <w:styleLink w:val="11numberbullet"/>
    <w:lvl w:ilvl="0">
      <w:start w:val="1"/>
      <w:numFmt w:val="decimal"/>
      <w:pStyle w:val="Heading-numbered"/>
      <w:lvlText w:val="%1."/>
      <w:lvlJc w:val="left"/>
      <w:pPr>
        <w:ind w:left="360" w:hanging="360"/>
      </w:pPr>
      <w:rPr>
        <w:rFonts w:ascii="Cambria" w:hAnsi="Cambr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3483689">
    <w:abstractNumId w:val="27"/>
  </w:num>
  <w:num w:numId="2" w16cid:durableId="905341251">
    <w:abstractNumId w:val="29"/>
  </w:num>
  <w:num w:numId="3" w16cid:durableId="2049526660">
    <w:abstractNumId w:val="7"/>
  </w:num>
  <w:num w:numId="4" w16cid:durableId="1012224739">
    <w:abstractNumId w:val="16"/>
  </w:num>
  <w:num w:numId="5" w16cid:durableId="1834880710">
    <w:abstractNumId w:val="30"/>
  </w:num>
  <w:num w:numId="6" w16cid:durableId="1576668292">
    <w:abstractNumId w:val="15"/>
  </w:num>
  <w:num w:numId="7" w16cid:durableId="1852379733">
    <w:abstractNumId w:val="9"/>
  </w:num>
  <w:num w:numId="8" w16cid:durableId="1027559327">
    <w:abstractNumId w:val="4"/>
  </w:num>
  <w:num w:numId="9" w16cid:durableId="1162350400">
    <w:abstractNumId w:val="22"/>
  </w:num>
  <w:num w:numId="10" w16cid:durableId="1615476363">
    <w:abstractNumId w:val="13"/>
  </w:num>
  <w:num w:numId="11" w16cid:durableId="269092991">
    <w:abstractNumId w:val="28"/>
  </w:num>
  <w:num w:numId="12" w16cid:durableId="291636618">
    <w:abstractNumId w:val="23"/>
  </w:num>
  <w:num w:numId="13" w16cid:durableId="1821343607">
    <w:abstractNumId w:val="6"/>
  </w:num>
  <w:num w:numId="14" w16cid:durableId="351152643">
    <w:abstractNumId w:val="3"/>
  </w:num>
  <w:num w:numId="15" w16cid:durableId="717125806">
    <w:abstractNumId w:val="5"/>
  </w:num>
  <w:num w:numId="16" w16cid:durableId="111412397">
    <w:abstractNumId w:val="2"/>
  </w:num>
  <w:num w:numId="17" w16cid:durableId="2030989046">
    <w:abstractNumId w:val="0"/>
  </w:num>
  <w:num w:numId="18" w16cid:durableId="404423359">
    <w:abstractNumId w:val="21"/>
  </w:num>
  <w:num w:numId="19" w16cid:durableId="1031108166">
    <w:abstractNumId w:val="10"/>
  </w:num>
  <w:num w:numId="20" w16cid:durableId="196509368">
    <w:abstractNumId w:val="32"/>
  </w:num>
  <w:num w:numId="21" w16cid:durableId="749540198">
    <w:abstractNumId w:val="17"/>
  </w:num>
  <w:num w:numId="22" w16cid:durableId="1688363228">
    <w:abstractNumId w:val="25"/>
  </w:num>
  <w:num w:numId="23" w16cid:durableId="825168367">
    <w:abstractNumId w:val="18"/>
  </w:num>
  <w:num w:numId="24" w16cid:durableId="1105807460">
    <w:abstractNumId w:val="19"/>
  </w:num>
  <w:num w:numId="25" w16cid:durableId="1147627954">
    <w:abstractNumId w:val="8"/>
  </w:num>
  <w:num w:numId="26" w16cid:durableId="883755957">
    <w:abstractNumId w:val="11"/>
  </w:num>
  <w:num w:numId="27" w16cid:durableId="1372147093">
    <w:abstractNumId w:val="31"/>
  </w:num>
  <w:num w:numId="28" w16cid:durableId="160198400">
    <w:abstractNumId w:val="1"/>
  </w:num>
  <w:num w:numId="29" w16cid:durableId="266431986">
    <w:abstractNumId w:val="20"/>
  </w:num>
  <w:num w:numId="30" w16cid:durableId="548422455">
    <w:abstractNumId w:val="26"/>
  </w:num>
  <w:num w:numId="31" w16cid:durableId="1724400205">
    <w:abstractNumId w:val="24"/>
  </w:num>
  <w:num w:numId="32" w16cid:durableId="1306206489">
    <w:abstractNumId w:val="12"/>
  </w:num>
  <w:num w:numId="33" w16cid:durableId="168933170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0478B"/>
    <w:rsid w:val="00064D6D"/>
    <w:rsid w:val="0008424D"/>
    <w:rsid w:val="00085987"/>
    <w:rsid w:val="000E0B12"/>
    <w:rsid w:val="000F09FF"/>
    <w:rsid w:val="000F7255"/>
    <w:rsid w:val="0010478B"/>
    <w:rsid w:val="0013311F"/>
    <w:rsid w:val="0015253A"/>
    <w:rsid w:val="001711CE"/>
    <w:rsid w:val="00191F90"/>
    <w:rsid w:val="001C495A"/>
    <w:rsid w:val="001D01A1"/>
    <w:rsid w:val="00277146"/>
    <w:rsid w:val="002A5A21"/>
    <w:rsid w:val="002B7EB1"/>
    <w:rsid w:val="002C0ECC"/>
    <w:rsid w:val="002C6546"/>
    <w:rsid w:val="002F1BA0"/>
    <w:rsid w:val="00304ED2"/>
    <w:rsid w:val="00366473"/>
    <w:rsid w:val="003723FE"/>
    <w:rsid w:val="00385900"/>
    <w:rsid w:val="00385BD5"/>
    <w:rsid w:val="003B40ED"/>
    <w:rsid w:val="003B6E87"/>
    <w:rsid w:val="003E425D"/>
    <w:rsid w:val="003E43D5"/>
    <w:rsid w:val="00463DE9"/>
    <w:rsid w:val="0047143D"/>
    <w:rsid w:val="004B0D4A"/>
    <w:rsid w:val="004E63D9"/>
    <w:rsid w:val="004F593D"/>
    <w:rsid w:val="005200B4"/>
    <w:rsid w:val="00541044"/>
    <w:rsid w:val="0055350E"/>
    <w:rsid w:val="0058458F"/>
    <w:rsid w:val="005F0836"/>
    <w:rsid w:val="00616934"/>
    <w:rsid w:val="00617BF4"/>
    <w:rsid w:val="00704594"/>
    <w:rsid w:val="00781D9D"/>
    <w:rsid w:val="007A17D7"/>
    <w:rsid w:val="007C1DD7"/>
    <w:rsid w:val="007E1F42"/>
    <w:rsid w:val="00804698"/>
    <w:rsid w:val="00811720"/>
    <w:rsid w:val="008244F7"/>
    <w:rsid w:val="00867073"/>
    <w:rsid w:val="008A3501"/>
    <w:rsid w:val="00915FB9"/>
    <w:rsid w:val="00923E8E"/>
    <w:rsid w:val="0094322E"/>
    <w:rsid w:val="00947675"/>
    <w:rsid w:val="0095118B"/>
    <w:rsid w:val="00953647"/>
    <w:rsid w:val="009768E9"/>
    <w:rsid w:val="009814BB"/>
    <w:rsid w:val="00984140"/>
    <w:rsid w:val="009A7F40"/>
    <w:rsid w:val="009B0230"/>
    <w:rsid w:val="009B7204"/>
    <w:rsid w:val="009C6FC4"/>
    <w:rsid w:val="009E6AFE"/>
    <w:rsid w:val="00A679DA"/>
    <w:rsid w:val="00A67F1C"/>
    <w:rsid w:val="00A71C4D"/>
    <w:rsid w:val="00A978CE"/>
    <w:rsid w:val="00AA7109"/>
    <w:rsid w:val="00AC0E6D"/>
    <w:rsid w:val="00AC344E"/>
    <w:rsid w:val="00AE4BB4"/>
    <w:rsid w:val="00B02043"/>
    <w:rsid w:val="00B137E4"/>
    <w:rsid w:val="00B37D01"/>
    <w:rsid w:val="00B73470"/>
    <w:rsid w:val="00BE78B5"/>
    <w:rsid w:val="00C0182C"/>
    <w:rsid w:val="00C06155"/>
    <w:rsid w:val="00C11822"/>
    <w:rsid w:val="00C8669C"/>
    <w:rsid w:val="00C87F8A"/>
    <w:rsid w:val="00CB6382"/>
    <w:rsid w:val="00CF1535"/>
    <w:rsid w:val="00CF1AE3"/>
    <w:rsid w:val="00D16EC9"/>
    <w:rsid w:val="00D2118A"/>
    <w:rsid w:val="00D213DB"/>
    <w:rsid w:val="00D219FE"/>
    <w:rsid w:val="00D30F2B"/>
    <w:rsid w:val="00D3451A"/>
    <w:rsid w:val="00D36D31"/>
    <w:rsid w:val="00D91FEA"/>
    <w:rsid w:val="00D9740D"/>
    <w:rsid w:val="00DA3961"/>
    <w:rsid w:val="00DA5708"/>
    <w:rsid w:val="00DE3808"/>
    <w:rsid w:val="00DF5B88"/>
    <w:rsid w:val="00E40221"/>
    <w:rsid w:val="00E442DB"/>
    <w:rsid w:val="00E71833"/>
    <w:rsid w:val="00E80CF0"/>
    <w:rsid w:val="00EA6A16"/>
    <w:rsid w:val="00EB0C09"/>
    <w:rsid w:val="00F12CA0"/>
    <w:rsid w:val="00F24F0D"/>
    <w:rsid w:val="00F87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65BBF"/>
  <w15:docId w15:val="{6E4C3191-5068-4239-BCB2-53E872CA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Times New Roman"/>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F7"/>
    <w:pPr>
      <w:spacing w:line="312" w:lineRule="auto"/>
    </w:pPr>
    <w:rPr>
      <w:rFonts w:ascii="Cambria" w:hAnsi="Cambria"/>
    </w:rPr>
  </w:style>
  <w:style w:type="paragraph" w:styleId="Heading1">
    <w:name w:val="heading 1"/>
    <w:basedOn w:val="Normal"/>
    <w:next w:val="Normal"/>
    <w:uiPriority w:val="9"/>
    <w:qFormat/>
    <w:rsid w:val="00923E8E"/>
    <w:pPr>
      <w:keepNext/>
      <w:keepLines/>
      <w:outlineLvl w:val="0"/>
    </w:pPr>
    <w:rPr>
      <w:rFonts w:eastAsia="MingLiU"/>
      <w:b/>
      <w:bCs/>
      <w:szCs w:val="28"/>
    </w:rPr>
  </w:style>
  <w:style w:type="paragraph" w:styleId="Heading2">
    <w:name w:val="heading 2"/>
    <w:basedOn w:val="Normal"/>
    <w:next w:val="Normal"/>
    <w:uiPriority w:val="9"/>
    <w:unhideWhenUsed/>
    <w:qFormat/>
    <w:rsid w:val="00923E8E"/>
    <w:pPr>
      <w:keepNext/>
      <w:keepLines/>
      <w:outlineLvl w:val="1"/>
    </w:pPr>
    <w:rPr>
      <w:rFonts w:eastAsia="MingLiU"/>
      <w:b/>
      <w:bCs/>
      <w:color w:val="EF7D00" w:themeColor="accent4"/>
      <w:szCs w:val="26"/>
    </w:rPr>
  </w:style>
  <w:style w:type="paragraph" w:styleId="Heading3">
    <w:name w:val="heading 3"/>
    <w:basedOn w:val="Normal"/>
    <w:next w:val="Normal"/>
    <w:uiPriority w:val="9"/>
    <w:unhideWhenUsed/>
    <w:qFormat/>
    <w:rsid w:val="00923E8E"/>
    <w:pPr>
      <w:keepNext/>
      <w:keepLines/>
      <w:outlineLvl w:val="2"/>
    </w:pPr>
    <w:rPr>
      <w:rFonts w:eastAsia="MingLiU"/>
      <w:b/>
      <w:bCs/>
      <w:color w:val="A4B2A5" w:themeColor="text2"/>
    </w:rPr>
  </w:style>
  <w:style w:type="paragraph" w:styleId="Heading4">
    <w:name w:val="heading 4"/>
    <w:basedOn w:val="Normal"/>
    <w:next w:val="Normal"/>
    <w:uiPriority w:val="9"/>
    <w:semiHidden/>
    <w:unhideWhenUsed/>
    <w:rsid w:val="000F7255"/>
    <w:pPr>
      <w:keepNext/>
      <w:keepLines/>
      <w:tabs>
        <w:tab w:val="left" w:pos="340"/>
      </w:tabs>
      <w:outlineLvl w:val="3"/>
    </w:pPr>
    <w:rPr>
      <w:rFonts w:eastAsia="MingLiU"/>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rsid w:val="00CF1AE3"/>
    <w:pPr>
      <w:numPr>
        <w:numId w:val="17"/>
      </w:numPr>
      <w:contextualSpacing/>
    </w:pPr>
  </w:style>
  <w:style w:type="paragraph" w:customStyle="1" w:styleId="Numberlistlevel1">
    <w:name w:val="Number list level 1"/>
    <w:basedOn w:val="ListBullet2"/>
    <w:qFormat/>
    <w:rsid w:val="00867073"/>
    <w:pPr>
      <w:numPr>
        <w:numId w:val="18"/>
      </w:numPr>
      <w:ind w:left="426" w:hanging="426"/>
    </w:pPr>
  </w:style>
  <w:style w:type="paragraph" w:styleId="Header">
    <w:name w:val="header"/>
    <w:basedOn w:val="Normal"/>
    <w:link w:val="HeaderChar"/>
    <w:uiPriority w:val="99"/>
    <w:unhideWhenUsed/>
    <w:rsid w:val="00D213DB"/>
    <w:pPr>
      <w:tabs>
        <w:tab w:val="center" w:pos="4513"/>
        <w:tab w:val="right" w:pos="9026"/>
      </w:tabs>
    </w:pPr>
  </w:style>
  <w:style w:type="character" w:customStyle="1" w:styleId="HeaderChar">
    <w:name w:val="Header Char"/>
    <w:basedOn w:val="DefaultParagraphFont"/>
    <w:link w:val="Header"/>
    <w:uiPriority w:val="99"/>
    <w:rsid w:val="00D213DB"/>
    <w:rPr>
      <w:rFonts w:ascii="Cambria" w:hAnsi="Cambria"/>
    </w:rPr>
  </w:style>
  <w:style w:type="paragraph" w:styleId="Footer">
    <w:name w:val="footer"/>
    <w:link w:val="FooterChar"/>
    <w:uiPriority w:val="99"/>
    <w:rsid w:val="00A978CE"/>
    <w:pPr>
      <w:tabs>
        <w:tab w:val="right" w:pos="7371"/>
      </w:tabs>
      <w:suppressAutoHyphens/>
      <w:spacing w:line="240" w:lineRule="atLeast"/>
    </w:pPr>
    <w:rPr>
      <w:rFonts w:asciiTheme="majorHAnsi" w:hAnsiTheme="majorHAnsi"/>
      <w:sz w:val="20"/>
    </w:rPr>
  </w:style>
  <w:style w:type="character" w:styleId="PlaceholderText">
    <w:name w:val="Placeholder Text"/>
    <w:basedOn w:val="DefaultParagraphFont"/>
    <w:uiPriority w:val="99"/>
    <w:semiHidden/>
    <w:rsid w:val="003723FE"/>
    <w:rPr>
      <w:color w:val="808080"/>
    </w:rPr>
  </w:style>
  <w:style w:type="numbering" w:customStyle="1" w:styleId="BIIbullets">
    <w:name w:val="BII bullets"/>
    <w:uiPriority w:val="99"/>
    <w:rsid w:val="007A17D7"/>
    <w:pPr>
      <w:numPr>
        <w:numId w:val="5"/>
      </w:numPr>
    </w:pPr>
  </w:style>
  <w:style w:type="paragraph" w:styleId="ListParagraph">
    <w:name w:val="List Paragraph"/>
    <w:basedOn w:val="Normal"/>
    <w:uiPriority w:val="34"/>
    <w:rsid w:val="007A17D7"/>
    <w:pPr>
      <w:ind w:left="720"/>
      <w:contextualSpacing/>
    </w:pPr>
  </w:style>
  <w:style w:type="numbering" w:customStyle="1" w:styleId="Style1">
    <w:name w:val="Style1"/>
    <w:uiPriority w:val="99"/>
    <w:rsid w:val="007A17D7"/>
    <w:pPr>
      <w:numPr>
        <w:numId w:val="6"/>
      </w:numPr>
    </w:pPr>
  </w:style>
  <w:style w:type="numbering" w:customStyle="1" w:styleId="Style7">
    <w:name w:val="Style7"/>
    <w:uiPriority w:val="99"/>
    <w:rsid w:val="00B137E4"/>
    <w:pPr>
      <w:numPr>
        <w:numId w:val="13"/>
      </w:numPr>
    </w:pPr>
  </w:style>
  <w:style w:type="paragraph" w:styleId="ListNumber">
    <w:name w:val="List Number"/>
    <w:basedOn w:val="Normal"/>
    <w:link w:val="ListNumberChar"/>
  </w:style>
  <w:style w:type="paragraph" w:styleId="FootnoteText">
    <w:name w:val="footnote text"/>
    <w:basedOn w:val="Normal"/>
    <w:link w:val="FootnoteTextChar"/>
    <w:uiPriority w:val="99"/>
    <w:rsid w:val="00A978CE"/>
    <w:pPr>
      <w:spacing w:line="200" w:lineRule="atLeast"/>
    </w:pPr>
    <w:rPr>
      <w:sz w:val="20"/>
      <w:szCs w:val="20"/>
    </w:rPr>
  </w:style>
  <w:style w:type="paragraph" w:customStyle="1" w:styleId="Subheading">
    <w:name w:val="Subheading"/>
    <w:basedOn w:val="Normal"/>
    <w:next w:val="Normal"/>
    <w:rPr>
      <w:rFonts w:ascii="Georgia" w:eastAsia="MingLiU" w:hAnsi="Georgia"/>
      <w:b/>
      <w:bCs/>
      <w:iCs/>
      <w:color w:val="000000"/>
    </w:rPr>
  </w:style>
  <w:style w:type="character" w:styleId="FootnoteReference">
    <w:name w:val="footnote reference"/>
    <w:basedOn w:val="DefaultParagraphFont"/>
    <w:uiPriority w:val="99"/>
    <w:rsid w:val="00A978CE"/>
    <w:rPr>
      <w:rFonts w:ascii="Cambria" w:hAnsi="Cambria"/>
      <w:position w:val="0"/>
      <w:sz w:val="20"/>
      <w:vertAlign w:val="superscript"/>
    </w:rPr>
  </w:style>
  <w:style w:type="paragraph" w:styleId="Title">
    <w:name w:val="Title"/>
    <w:basedOn w:val="Normal"/>
    <w:next w:val="NoSpacing"/>
    <w:link w:val="TitleChar"/>
    <w:uiPriority w:val="10"/>
    <w:qFormat/>
    <w:rsid w:val="008244F7"/>
    <w:pPr>
      <w:spacing w:line="240" w:lineRule="auto"/>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8244F7"/>
    <w:rPr>
      <w:rFonts w:ascii="Cambria" w:eastAsiaTheme="majorEastAsia" w:hAnsi="Cambria" w:cstheme="majorBidi"/>
      <w:color w:val="000000" w:themeColor="text1"/>
      <w:spacing w:val="-10"/>
      <w:kern w:val="28"/>
      <w:sz w:val="56"/>
      <w:szCs w:val="56"/>
    </w:rPr>
  </w:style>
  <w:style w:type="paragraph" w:styleId="Subtitle">
    <w:name w:val="Subtitle"/>
    <w:basedOn w:val="Normal"/>
    <w:next w:val="NoSpacing"/>
    <w:link w:val="SubtitleChar"/>
    <w:uiPriority w:val="11"/>
    <w:qFormat/>
    <w:rsid w:val="008244F7"/>
    <w:pPr>
      <w:numPr>
        <w:ilvl w:val="1"/>
      </w:numPr>
      <w:spacing w:line="240" w:lineRule="auto"/>
    </w:pPr>
    <w:rPr>
      <w:rFonts w:eastAsiaTheme="minorEastAsia" w:cstheme="minorBidi"/>
      <w:i/>
      <w:spacing w:val="15"/>
      <w:sz w:val="32"/>
      <w:szCs w:val="22"/>
    </w:rPr>
  </w:style>
  <w:style w:type="character" w:customStyle="1" w:styleId="SubtitleChar">
    <w:name w:val="Subtitle Char"/>
    <w:basedOn w:val="DefaultParagraphFont"/>
    <w:link w:val="Subtitle"/>
    <w:uiPriority w:val="11"/>
    <w:rsid w:val="008244F7"/>
    <w:rPr>
      <w:rFonts w:ascii="Cambria" w:eastAsiaTheme="minorEastAsia" w:hAnsi="Cambria" w:cstheme="minorBidi"/>
      <w:i/>
      <w:spacing w:val="15"/>
      <w:sz w:val="32"/>
      <w:szCs w:val="22"/>
    </w:rPr>
  </w:style>
  <w:style w:type="character" w:styleId="SubtleEmphasis">
    <w:name w:val="Subtle Emphasis"/>
    <w:basedOn w:val="DefaultParagraphFont"/>
    <w:uiPriority w:val="19"/>
    <w:rsid w:val="0008424D"/>
    <w:rPr>
      <w:rFonts w:ascii="Cambria" w:hAnsi="Cambria"/>
      <w:i/>
      <w:iCs/>
      <w:color w:val="A4B2A5" w:themeColor="text2"/>
    </w:rPr>
  </w:style>
  <w:style w:type="numbering" w:customStyle="1" w:styleId="LFO19">
    <w:name w:val="LFO19"/>
    <w:basedOn w:val="NoList"/>
    <w:pPr>
      <w:numPr>
        <w:numId w:val="1"/>
      </w:numPr>
    </w:pPr>
  </w:style>
  <w:style w:type="numbering" w:customStyle="1" w:styleId="LFO20">
    <w:name w:val="LFO20"/>
    <w:basedOn w:val="NoList"/>
    <w:pPr>
      <w:numPr>
        <w:numId w:val="2"/>
      </w:numPr>
    </w:pPr>
  </w:style>
  <w:style w:type="numbering" w:customStyle="1" w:styleId="LFO21">
    <w:name w:val="LFO21"/>
    <w:basedOn w:val="NoList"/>
    <w:pPr>
      <w:numPr>
        <w:numId w:val="3"/>
      </w:numPr>
    </w:pPr>
  </w:style>
  <w:style w:type="numbering" w:customStyle="1" w:styleId="LFO22">
    <w:name w:val="LFO22"/>
    <w:basedOn w:val="NoList"/>
    <w:pPr>
      <w:numPr>
        <w:numId w:val="4"/>
      </w:numPr>
    </w:pPr>
  </w:style>
  <w:style w:type="numbering" w:customStyle="1" w:styleId="BIIbullet">
    <w:name w:val="BII bullet"/>
    <w:uiPriority w:val="99"/>
    <w:rsid w:val="002C6546"/>
    <w:pPr>
      <w:numPr>
        <w:numId w:val="7"/>
      </w:numPr>
    </w:pPr>
  </w:style>
  <w:style w:type="numbering" w:customStyle="1" w:styleId="Style2">
    <w:name w:val="Style2"/>
    <w:uiPriority w:val="99"/>
    <w:rsid w:val="002C6546"/>
    <w:pPr>
      <w:numPr>
        <w:numId w:val="8"/>
      </w:numPr>
    </w:pPr>
  </w:style>
  <w:style w:type="numbering" w:customStyle="1" w:styleId="Style3">
    <w:name w:val="Style3"/>
    <w:uiPriority w:val="99"/>
    <w:rsid w:val="002C6546"/>
    <w:pPr>
      <w:numPr>
        <w:numId w:val="9"/>
      </w:numPr>
    </w:pPr>
  </w:style>
  <w:style w:type="numbering" w:customStyle="1" w:styleId="Style4">
    <w:name w:val="Style4"/>
    <w:uiPriority w:val="99"/>
    <w:rsid w:val="002C6546"/>
    <w:pPr>
      <w:numPr>
        <w:numId w:val="10"/>
      </w:numPr>
    </w:pPr>
  </w:style>
  <w:style w:type="numbering" w:customStyle="1" w:styleId="Style5">
    <w:name w:val="Style5"/>
    <w:uiPriority w:val="99"/>
    <w:rsid w:val="002C6546"/>
    <w:pPr>
      <w:numPr>
        <w:numId w:val="11"/>
      </w:numPr>
    </w:pPr>
  </w:style>
  <w:style w:type="numbering" w:customStyle="1" w:styleId="Style6">
    <w:name w:val="Style6"/>
    <w:uiPriority w:val="99"/>
    <w:rsid w:val="002C6546"/>
    <w:pPr>
      <w:numPr>
        <w:numId w:val="12"/>
      </w:numPr>
    </w:pPr>
  </w:style>
  <w:style w:type="character" w:styleId="Emphasis">
    <w:name w:val="Emphasis"/>
    <w:basedOn w:val="DefaultParagraphFont"/>
    <w:uiPriority w:val="20"/>
    <w:qFormat/>
    <w:rsid w:val="0008424D"/>
    <w:rPr>
      <w:i/>
      <w:iCs/>
    </w:rPr>
  </w:style>
  <w:style w:type="paragraph" w:styleId="ListBullet">
    <w:name w:val="List Bullet"/>
    <w:basedOn w:val="Normal"/>
    <w:next w:val="ListBullet2"/>
    <w:uiPriority w:val="99"/>
    <w:unhideWhenUsed/>
    <w:qFormat/>
    <w:rsid w:val="00CF1AE3"/>
    <w:pPr>
      <w:numPr>
        <w:numId w:val="14"/>
      </w:numPr>
      <w:contextualSpacing/>
    </w:pPr>
  </w:style>
  <w:style w:type="paragraph" w:customStyle="1" w:styleId="Bulletlevel1">
    <w:name w:val="Bullet level 1"/>
    <w:basedOn w:val="ListBullet"/>
    <w:qFormat/>
    <w:rsid w:val="00867073"/>
    <w:pPr>
      <w:tabs>
        <w:tab w:val="clear" w:pos="360"/>
      </w:tabs>
      <w:ind w:left="426" w:hanging="426"/>
    </w:pPr>
  </w:style>
  <w:style w:type="numbering" w:customStyle="1" w:styleId="Style8">
    <w:name w:val="Style8"/>
    <w:uiPriority w:val="99"/>
    <w:rsid w:val="002B7EB1"/>
    <w:pPr>
      <w:numPr>
        <w:numId w:val="15"/>
      </w:numPr>
    </w:pPr>
  </w:style>
  <w:style w:type="paragraph" w:customStyle="1" w:styleId="Bulletlevel2">
    <w:name w:val="Bullet level 2"/>
    <w:basedOn w:val="ListBullet2"/>
    <w:link w:val="Bulletlevel2Char"/>
    <w:qFormat/>
    <w:rsid w:val="00867073"/>
    <w:pPr>
      <w:numPr>
        <w:numId w:val="19"/>
      </w:numPr>
      <w:ind w:left="993" w:hanging="426"/>
    </w:pPr>
  </w:style>
  <w:style w:type="paragraph" w:styleId="ListBullet2">
    <w:name w:val="List Bullet 2"/>
    <w:basedOn w:val="Normal"/>
    <w:uiPriority w:val="99"/>
    <w:semiHidden/>
    <w:unhideWhenUsed/>
    <w:rsid w:val="00AE4BB4"/>
    <w:pPr>
      <w:numPr>
        <w:numId w:val="16"/>
      </w:numPr>
      <w:contextualSpacing/>
    </w:pPr>
  </w:style>
  <w:style w:type="character" w:customStyle="1" w:styleId="ListNumberChar">
    <w:name w:val="List Number Char"/>
    <w:basedOn w:val="DefaultParagraphFont"/>
    <w:link w:val="ListNumber"/>
    <w:rsid w:val="00D30F2B"/>
    <w:rPr>
      <w:rFonts w:ascii="Cambria" w:hAnsi="Cambria"/>
    </w:rPr>
  </w:style>
  <w:style w:type="character" w:customStyle="1" w:styleId="Bulletlevel2Char">
    <w:name w:val="Bullet level 2 Char"/>
    <w:basedOn w:val="ListNumberChar"/>
    <w:link w:val="Bulletlevel2"/>
    <w:rsid w:val="00867073"/>
    <w:rPr>
      <w:rFonts w:ascii="Cambria" w:hAnsi="Cambria"/>
    </w:rPr>
  </w:style>
  <w:style w:type="numbering" w:customStyle="1" w:styleId="11numberbullet">
    <w:name w:val="1.1 number bullet"/>
    <w:uiPriority w:val="99"/>
    <w:rsid w:val="00616934"/>
    <w:pPr>
      <w:numPr>
        <w:numId w:val="20"/>
      </w:numPr>
    </w:pPr>
  </w:style>
  <w:style w:type="character" w:customStyle="1" w:styleId="FooterChar">
    <w:name w:val="Footer Char"/>
    <w:basedOn w:val="DefaultParagraphFont"/>
    <w:link w:val="Footer"/>
    <w:uiPriority w:val="99"/>
    <w:rsid w:val="002A5A21"/>
    <w:rPr>
      <w:rFonts w:asciiTheme="majorHAnsi" w:hAnsiTheme="majorHAnsi"/>
      <w:sz w:val="20"/>
    </w:rPr>
  </w:style>
  <w:style w:type="paragraph" w:styleId="NoSpacing">
    <w:name w:val="No Spacing"/>
    <w:uiPriority w:val="1"/>
    <w:rsid w:val="00D9740D"/>
    <w:rPr>
      <w:rFonts w:ascii="Cambria" w:hAnsi="Cambria"/>
    </w:rPr>
  </w:style>
  <w:style w:type="paragraph" w:customStyle="1" w:styleId="Heading-numbered">
    <w:name w:val="Heading - numbered"/>
    <w:basedOn w:val="Normal"/>
    <w:link w:val="Heading-numberedChar"/>
    <w:rsid w:val="00366473"/>
    <w:pPr>
      <w:numPr>
        <w:numId w:val="23"/>
      </w:numPr>
      <w:tabs>
        <w:tab w:val="right" w:pos="8080"/>
      </w:tabs>
      <w:suppressAutoHyphens/>
      <w:spacing w:after="113"/>
      <w:ind w:right="1985"/>
    </w:pPr>
    <w:rPr>
      <w:rFonts w:asciiTheme="minorHAnsi" w:hAnsiTheme="minorHAnsi"/>
      <w:b/>
      <w:bCs/>
      <w:noProof/>
    </w:rPr>
  </w:style>
  <w:style w:type="character" w:customStyle="1" w:styleId="Heading-numberedChar">
    <w:name w:val="Heading - numbered Char"/>
    <w:basedOn w:val="DefaultParagraphFont"/>
    <w:link w:val="Heading-numbered"/>
    <w:rsid w:val="00366473"/>
    <w:rPr>
      <w:rFonts w:asciiTheme="minorHAnsi" w:hAnsiTheme="minorHAnsi"/>
      <w:b/>
      <w:bCs/>
      <w:noProof/>
    </w:rPr>
  </w:style>
  <w:style w:type="paragraph" w:customStyle="1" w:styleId="Heading2-numbered">
    <w:name w:val="Heading 2 - numbered"/>
    <w:basedOn w:val="Heading-numbered"/>
    <w:link w:val="Heading2-numberedChar"/>
    <w:qFormat/>
    <w:rsid w:val="00366473"/>
    <w:pPr>
      <w:numPr>
        <w:ilvl w:val="1"/>
      </w:numPr>
      <w:ind w:left="567" w:hanging="567"/>
    </w:pPr>
    <w:rPr>
      <w:color w:val="EF7D00" w:themeColor="background1"/>
    </w:rPr>
  </w:style>
  <w:style w:type="paragraph" w:customStyle="1" w:styleId="Heading3-numbered">
    <w:name w:val="Heading 3 - numbered"/>
    <w:basedOn w:val="Heading-numbered"/>
    <w:link w:val="Heading3-numberedChar"/>
    <w:qFormat/>
    <w:rsid w:val="00366473"/>
    <w:pPr>
      <w:numPr>
        <w:ilvl w:val="2"/>
      </w:numPr>
      <w:ind w:left="851" w:right="27" w:hanging="851"/>
    </w:pPr>
    <w:rPr>
      <w:color w:val="A4B2A5" w:themeColor="text2"/>
    </w:rPr>
  </w:style>
  <w:style w:type="character" w:customStyle="1" w:styleId="Heading2-numberedChar">
    <w:name w:val="Heading 2 - numbered Char"/>
    <w:basedOn w:val="Heading-numberedChar"/>
    <w:link w:val="Heading2-numbered"/>
    <w:rsid w:val="00366473"/>
    <w:rPr>
      <w:rFonts w:asciiTheme="minorHAnsi" w:hAnsiTheme="minorHAnsi"/>
      <w:b/>
      <w:bCs/>
      <w:noProof/>
      <w:color w:val="EF7D00" w:themeColor="background1"/>
    </w:rPr>
  </w:style>
  <w:style w:type="character" w:customStyle="1" w:styleId="Heading3-numberedChar">
    <w:name w:val="Heading 3 - numbered Char"/>
    <w:basedOn w:val="Heading-numberedChar"/>
    <w:link w:val="Heading3-numbered"/>
    <w:rsid w:val="00366473"/>
    <w:rPr>
      <w:rFonts w:asciiTheme="minorHAnsi" w:hAnsiTheme="minorHAnsi"/>
      <w:b/>
      <w:bCs/>
      <w:noProof/>
      <w:color w:val="A4B2A5" w:themeColor="text2"/>
    </w:rPr>
  </w:style>
  <w:style w:type="paragraph" w:customStyle="1" w:styleId="Heading1-numbered">
    <w:name w:val="Heading 1 - numbered"/>
    <w:basedOn w:val="Heading-numbered"/>
    <w:link w:val="Heading1-numberedChar"/>
    <w:qFormat/>
    <w:rsid w:val="000F09FF"/>
    <w:pPr>
      <w:ind w:left="426" w:hanging="426"/>
    </w:pPr>
  </w:style>
  <w:style w:type="character" w:customStyle="1" w:styleId="Heading1-numberedChar">
    <w:name w:val="Heading 1 - numbered Char"/>
    <w:basedOn w:val="Heading-numberedChar"/>
    <w:link w:val="Heading1-numbered"/>
    <w:rsid w:val="000F09FF"/>
    <w:rPr>
      <w:rFonts w:asciiTheme="minorHAnsi" w:hAnsiTheme="minorHAnsi"/>
      <w:b/>
      <w:bCs/>
      <w:noProof/>
    </w:rPr>
  </w:style>
  <w:style w:type="paragraph" w:styleId="Revision">
    <w:name w:val="Revision"/>
    <w:hidden/>
    <w:uiPriority w:val="99"/>
    <w:semiHidden/>
    <w:rsid w:val="007C1DD7"/>
    <w:pPr>
      <w:autoSpaceDN/>
      <w:textAlignment w:val="auto"/>
    </w:pPr>
    <w:rPr>
      <w:rFonts w:ascii="Cambria" w:hAnsi="Cambria"/>
    </w:rPr>
  </w:style>
  <w:style w:type="table" w:styleId="TableGrid">
    <w:name w:val="Table Grid"/>
    <w:basedOn w:val="TableNormal"/>
    <w:uiPriority w:val="39"/>
    <w:rsid w:val="0010478B"/>
    <w:pPr>
      <w:autoSpaceDN/>
      <w:textAlignment w:val="auto"/>
    </w:pPr>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478B"/>
    <w:rPr>
      <w:color w:val="EF7D00" w:themeColor="hyperlink"/>
      <w:u w:val="single"/>
    </w:rPr>
  </w:style>
  <w:style w:type="numbering" w:customStyle="1" w:styleId="ErgonList">
    <w:name w:val="Ergon List"/>
    <w:uiPriority w:val="99"/>
    <w:rsid w:val="0010478B"/>
    <w:pPr>
      <w:numPr>
        <w:numId w:val="26"/>
      </w:numPr>
    </w:pPr>
  </w:style>
  <w:style w:type="paragraph" w:customStyle="1" w:styleId="Tabletext">
    <w:name w:val="Table text"/>
    <w:qFormat/>
    <w:rsid w:val="0010478B"/>
    <w:pPr>
      <w:autoSpaceDN/>
      <w:spacing w:line="240" w:lineRule="atLeast"/>
      <w:textAlignment w:val="auto"/>
    </w:pPr>
    <w:rPr>
      <w:rFonts w:asciiTheme="minorHAnsi" w:eastAsiaTheme="minorEastAsia" w:hAnsiTheme="minorHAnsi" w:cstheme="minorBidi"/>
      <w:color w:val="A4B2A5" w:themeColor="text2"/>
      <w:sz w:val="18"/>
      <w:szCs w:val="22"/>
      <w:lang w:eastAsia="zh-CN"/>
    </w:rPr>
  </w:style>
  <w:style w:type="character" w:customStyle="1" w:styleId="FootnoteTextChar">
    <w:name w:val="Footnote Text Char"/>
    <w:basedOn w:val="DefaultParagraphFont"/>
    <w:link w:val="FootnoteText"/>
    <w:uiPriority w:val="99"/>
    <w:rsid w:val="0010478B"/>
    <w:rPr>
      <w:rFonts w:ascii="Cambria" w:hAnsi="Cambria"/>
      <w:sz w:val="20"/>
      <w:szCs w:val="20"/>
    </w:rPr>
  </w:style>
  <w:style w:type="paragraph" w:customStyle="1" w:styleId="Tabletitle">
    <w:name w:val="Table title"/>
    <w:basedOn w:val="Tabletext"/>
    <w:next w:val="Tabletext"/>
    <w:qFormat/>
    <w:rsid w:val="0010478B"/>
    <w:rPr>
      <w:color w:val="EF7D00" w:themeColor="background1"/>
    </w:rPr>
  </w:style>
  <w:style w:type="table" w:customStyle="1" w:styleId="Ergontable">
    <w:name w:val="Ergon table"/>
    <w:basedOn w:val="TableNormal"/>
    <w:uiPriority w:val="99"/>
    <w:rsid w:val="0010478B"/>
    <w:pPr>
      <w:autoSpaceDN/>
      <w:spacing w:line="240" w:lineRule="atLeast"/>
      <w:textAlignment w:val="auto"/>
    </w:pPr>
    <w:rPr>
      <w:rFonts w:asciiTheme="minorHAnsi" w:eastAsiaTheme="minorEastAsia" w:hAnsiTheme="minorHAnsi" w:cs="Arial Unicode MS"/>
      <w:color w:val="A4B2A5" w:themeColor="text2"/>
      <w:sz w:val="18"/>
      <w:szCs w:val="18"/>
      <w:lang w:eastAsia="zh-CN"/>
    </w:rPr>
    <w:tblPr>
      <w:tblBorders>
        <w:insideH w:val="single" w:sz="4" w:space="0" w:color="EF7D00" w:themeColor="background1"/>
        <w:insideV w:val="single" w:sz="4" w:space="0" w:color="EF7D00" w:themeColor="background1"/>
      </w:tblBorders>
      <w:tblCellMar>
        <w:top w:w="57" w:type="dxa"/>
        <w:left w:w="113" w:type="dxa"/>
        <w:bottom w:w="113" w:type="dxa"/>
        <w:right w:w="113" w:type="dxa"/>
      </w:tblCellMar>
    </w:tblPr>
    <w:tcPr>
      <w:shd w:val="clear" w:color="auto" w:fill="FFFFFF" w:themeFill="background2" w:themeFillTint="33"/>
    </w:tcPr>
    <w:tblStylePr w:type="firstRow">
      <w:rPr>
        <w:rFonts w:ascii="Franklin Gothic Medium" w:hAnsi="Franklin Gothic Medium"/>
        <w:color w:val="EF7D00" w:themeColor="background1"/>
      </w:rPr>
      <w:tblPr/>
      <w:trPr>
        <w:tblHeader/>
      </w:trPr>
      <w:tcPr>
        <w:shd w:val="clear" w:color="auto" w:fill="000000" w:themeFill="accent1"/>
      </w:tcPr>
    </w:tblStylePr>
  </w:style>
  <w:style w:type="character" w:customStyle="1" w:styleId="NormalBold">
    <w:name w:val="Normal Bold"/>
    <w:basedOn w:val="DefaultParagraphFont"/>
    <w:uiPriority w:val="1"/>
    <w:qFormat/>
    <w:rsid w:val="0010478B"/>
    <w:rPr>
      <w:rFonts w:ascii="Franklin Gothic Medium" w:hAnsi="Franklin Gothic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4792">
      <w:bodyDiv w:val="1"/>
      <w:marLeft w:val="0"/>
      <w:marRight w:val="0"/>
      <w:marTop w:val="0"/>
      <w:marBottom w:val="0"/>
      <w:divBdr>
        <w:top w:val="none" w:sz="0" w:space="0" w:color="auto"/>
        <w:left w:val="none" w:sz="0" w:space="0" w:color="auto"/>
        <w:bottom w:val="none" w:sz="0" w:space="0" w:color="auto"/>
        <w:right w:val="none" w:sz="0" w:space="0" w:color="auto"/>
      </w:divBdr>
    </w:div>
    <w:div w:id="387648451">
      <w:bodyDiv w:val="1"/>
      <w:marLeft w:val="0"/>
      <w:marRight w:val="0"/>
      <w:marTop w:val="0"/>
      <w:marBottom w:val="0"/>
      <w:divBdr>
        <w:top w:val="none" w:sz="0" w:space="0" w:color="auto"/>
        <w:left w:val="none" w:sz="0" w:space="0" w:color="auto"/>
        <w:bottom w:val="none" w:sz="0" w:space="0" w:color="auto"/>
        <w:right w:val="none" w:sz="0" w:space="0" w:color="auto"/>
      </w:divBdr>
    </w:div>
    <w:div w:id="628632089">
      <w:bodyDiv w:val="1"/>
      <w:marLeft w:val="0"/>
      <w:marRight w:val="0"/>
      <w:marTop w:val="0"/>
      <w:marBottom w:val="0"/>
      <w:divBdr>
        <w:top w:val="none" w:sz="0" w:space="0" w:color="auto"/>
        <w:left w:val="none" w:sz="0" w:space="0" w:color="auto"/>
        <w:bottom w:val="none" w:sz="0" w:space="0" w:color="auto"/>
        <w:right w:val="none" w:sz="0" w:space="0" w:color="auto"/>
      </w:divBdr>
    </w:div>
    <w:div w:id="985279191">
      <w:bodyDiv w:val="1"/>
      <w:marLeft w:val="0"/>
      <w:marRight w:val="0"/>
      <w:marTop w:val="0"/>
      <w:marBottom w:val="0"/>
      <w:divBdr>
        <w:top w:val="none" w:sz="0" w:space="0" w:color="auto"/>
        <w:left w:val="none" w:sz="0" w:space="0" w:color="auto"/>
        <w:bottom w:val="none" w:sz="0" w:space="0" w:color="auto"/>
        <w:right w:val="none" w:sz="0" w:space="0" w:color="auto"/>
      </w:divBdr>
    </w:div>
    <w:div w:id="184497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kit.bii.co.uk/wp-content/uploads/2021/04/CDC_HumanResourcesManagementAssessmentTool_202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cdcgroupcom.sharepoint.com/BII%20Org%20Assets%20Library/BII%20Document.dotx" TargetMode="External"/></Relationships>
</file>

<file path=word/theme/theme1.xml><?xml version="1.0" encoding="utf-8"?>
<a:theme xmlns:a="http://schemas.openxmlformats.org/drawingml/2006/main" name="Office Theme">
  <a:themeElements>
    <a:clrScheme name="BII palette 2022">
      <a:dk1>
        <a:srgbClr val="000000"/>
      </a:dk1>
      <a:lt1>
        <a:srgbClr val="EF7D00"/>
      </a:lt1>
      <a:dk2>
        <a:srgbClr val="A4B2A5"/>
      </a:dk2>
      <a:lt2>
        <a:srgbClr val="FFFFFF"/>
      </a:lt2>
      <a:accent1>
        <a:srgbClr val="000000"/>
      </a:accent1>
      <a:accent2>
        <a:srgbClr val="A4B2A5"/>
      </a:accent2>
      <a:accent3>
        <a:srgbClr val="DB052C"/>
      </a:accent3>
      <a:accent4>
        <a:srgbClr val="EF7D00"/>
      </a:accent4>
      <a:accent5>
        <a:srgbClr val="F3BC00"/>
      </a:accent5>
      <a:accent6>
        <a:srgbClr val="182865"/>
      </a:accent6>
      <a:hlink>
        <a:srgbClr val="EF7D00"/>
      </a:hlink>
      <a:folHlink>
        <a:srgbClr val="EF7D00"/>
      </a:folHlink>
    </a:clrScheme>
    <a:fontScheme name="BII typeface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5800705-6cab-460c-b450-fee685b6c533" ContentTypeId="0x0101000ABE5BDCD31A9B409314102C7009B25C"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60208c032404629b4d3226b63133635 xmlns="870cb497-4044-4cf2-90cc-f4ae0dbc3665">
      <Terms xmlns="http://schemas.microsoft.com/office/infopath/2007/PartnerControls"/>
    </e60208c032404629b4d3226b63133635>
    <TaxCatchAll xmlns="870cb497-4044-4cf2-90cc-f4ae0dbc3665" xsi:nil="true"/>
    <m84d7c7f63cb451b899bccc83df50b61 xmlns="870cb497-4044-4cf2-90cc-f4ae0dbc3665">
      <Terms xmlns="http://schemas.microsoft.com/office/infopath/2007/PartnerControls"/>
    </m84d7c7f63cb451b899bccc83df50b61>
  </documentManagement>
</p:properties>
</file>

<file path=customXml/item4.xml><?xml version="1.0" encoding="utf-8"?>
<ct:contentTypeSchema xmlns:ct="http://schemas.microsoft.com/office/2006/metadata/contentType" xmlns:ma="http://schemas.microsoft.com/office/2006/metadata/properties/metaAttributes" ct:_="" ma:_="" ma:contentTypeName="BII Document" ma:contentTypeID="0x0101000ABE5BDCD31A9B409314102C7009B25C0057B3E06E684EEF4C9DDDD7564E8A78C8" ma:contentTypeVersion="545" ma:contentTypeDescription="" ma:contentTypeScope="" ma:versionID="4d18a4e475c61e50974193e7fabf5a5b">
  <xsd:schema xmlns:xsd="http://www.w3.org/2001/XMLSchema" xmlns:xs="http://www.w3.org/2001/XMLSchema" xmlns:p="http://schemas.microsoft.com/office/2006/metadata/properties" xmlns:ns2="870cb497-4044-4cf2-90cc-f4ae0dbc3665" targetNamespace="http://schemas.microsoft.com/office/2006/metadata/properties" ma:root="true" ma:fieldsID="c5eecf8ed59e81c5afa033aa79f6fd0e" ns2:_="">
    <xsd:import namespace="870cb497-4044-4cf2-90cc-f4ae0dbc3665"/>
    <xsd:element name="properties">
      <xsd:complexType>
        <xsd:sequence>
          <xsd:element name="documentManagement">
            <xsd:complexType>
              <xsd:all>
                <xsd:element ref="ns2:m84d7c7f63cb451b899bccc83df50b61" minOccurs="0"/>
                <xsd:element ref="ns2:TaxCatchAll" minOccurs="0"/>
                <xsd:element ref="ns2:TaxCatchAllLabel" minOccurs="0"/>
                <xsd:element ref="ns2:e60208c032404629b4d3226b631336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cb497-4044-4cf2-90cc-f4ae0dbc3665" elementFormDefault="qualified">
    <xsd:import namespace="http://schemas.microsoft.com/office/2006/documentManagement/types"/>
    <xsd:import namespace="http://schemas.microsoft.com/office/infopath/2007/PartnerControls"/>
    <xsd:element name="m84d7c7f63cb451b899bccc83df50b61" ma:index="8" nillable="true" ma:taxonomy="true" ma:internalName="m84d7c7f63cb451b899bccc83df50b61" ma:taxonomyFieldName="CDCDocumentType" ma:displayName="Document Type" ma:default="" ma:fieldId="{684d7c7f-63cb-451b-899b-ccc83df50b61}" ma:sspId="a5800705-6cab-460c-b450-fee685b6c533" ma:termSetId="9f4130ef-8c5c-407c-aa7b-8c88a3643df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bfd7f20-e017-4127-9f61-fe49932a1126}" ma:internalName="TaxCatchAll" ma:showField="CatchAllData"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bfd7f20-e017-4127-9f61-fe49932a1126}" ma:internalName="TaxCatchAllLabel" ma:readOnly="true" ma:showField="CatchAllDataLabel" ma:web="2b16538c-59ea-4e35-9e08-52b56f73720b">
      <xsd:complexType>
        <xsd:complexContent>
          <xsd:extension base="dms:MultiChoiceLookup">
            <xsd:sequence>
              <xsd:element name="Value" type="dms:Lookup" maxOccurs="unbounded" minOccurs="0" nillable="true"/>
            </xsd:sequence>
          </xsd:extension>
        </xsd:complexContent>
      </xsd:complexType>
    </xsd:element>
    <xsd:element name="e60208c032404629b4d3226b63133635" ma:index="12" nillable="true" ma:taxonomy="true" ma:internalName="e60208c032404629b4d3226b63133635" ma:taxonomyFieldName="CDCRelateTo" ma:displayName="Relates To" ma:default="33;#Environmental and Social Responsibility|33ad2915-8861-4337-ac5a-5f7bdfeb2377" ma:fieldId="{e60208c0-3240-4629-b4d3-226b63133635}" ma:taxonomyMulti="true" ma:sspId="a5800705-6cab-460c-b450-fee685b6c533" ma:termSetId="393c547d-ea85-45f5-81e1-f49dc26bf6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B95689-A59C-4210-A44B-5330467D1AA6}">
  <ds:schemaRefs>
    <ds:schemaRef ds:uri="Microsoft.SharePoint.Taxonomy.ContentTypeSync"/>
  </ds:schemaRefs>
</ds:datastoreItem>
</file>

<file path=customXml/itemProps2.xml><?xml version="1.0" encoding="utf-8"?>
<ds:datastoreItem xmlns:ds="http://schemas.openxmlformats.org/officeDocument/2006/customXml" ds:itemID="{A46A0F47-38F0-4DCA-9DDD-A4F5FAFE4625}">
  <ds:schemaRefs>
    <ds:schemaRef ds:uri="http://schemas.microsoft.com/sharepoint/v3/contenttype/forms"/>
  </ds:schemaRefs>
</ds:datastoreItem>
</file>

<file path=customXml/itemProps3.xml><?xml version="1.0" encoding="utf-8"?>
<ds:datastoreItem xmlns:ds="http://schemas.openxmlformats.org/officeDocument/2006/customXml" ds:itemID="{6D7C6B11-2E18-477C-93B8-7E5AC1E268E7}">
  <ds:schemaRefs>
    <ds:schemaRef ds:uri="http://schemas.microsoft.com/office/2006/metadata/properties"/>
    <ds:schemaRef ds:uri="http://schemas.microsoft.com/office/infopath/2007/PartnerControls"/>
    <ds:schemaRef ds:uri="870cb497-4044-4cf2-90cc-f4ae0dbc3665"/>
  </ds:schemaRefs>
</ds:datastoreItem>
</file>

<file path=customXml/itemProps4.xml><?xml version="1.0" encoding="utf-8"?>
<ds:datastoreItem xmlns:ds="http://schemas.openxmlformats.org/officeDocument/2006/customXml" ds:itemID="{199623E0-FA69-4953-820B-F5FB68563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cb497-4044-4cf2-90cc-f4ae0dbc3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BII%20Document</Template>
  <TotalTime>23</TotalTime>
  <Pages>8</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Alan Noamesi</dc:creator>
  <cp:keywords/>
  <dc:description/>
  <cp:lastModifiedBy>Alan Noamesi</cp:lastModifiedBy>
  <cp:revision>12</cp:revision>
  <dcterms:created xsi:type="dcterms:W3CDTF">2024-01-28T21:17:00Z</dcterms:created>
  <dcterms:modified xsi:type="dcterms:W3CDTF">2024-02-15T10:13:00Z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0x0101000ABE5BDCD31A9B409314102C7009B25C0057B3E06E684EEF4C9DDDD7564E8A78C8</vt:lpwstr>
  </property>
  <property fmtid="{D5CDD505-2E9C-101B-9397-08002B2CF9AE}" pid="3" name="FileLeafRef">
    <vt:lpwstr>CDC_Standard document template.dotx</vt:lpwstr>
  </property>
  <property fmtid="{D5CDD505-2E9C-101B-9397-08002B2CF9AE}" pid="4" name="CDCRelateTo">
    <vt:lpwstr/>
  </property>
  <property fmtid="{D5CDD505-2E9C-101B-9397-08002B2CF9AE}" pid="5" name="CDCDocumentType">
    <vt:lpwstr/>
  </property>
  <property fmtid="{D5CDD505-2E9C-101B-9397-08002B2CF9AE}" pid="6" name="MediaServiceImageTags">
    <vt:lpwstr/>
  </property>
  <property fmtid="{D5CDD505-2E9C-101B-9397-08002B2CF9AE}" pid="7" name="lcf76f155ced4ddcb4097134ff3c332f">
    <vt:lpwstr/>
  </property>
</Properties>
</file>