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6259" w14:textId="77777777" w:rsidR="00040F60" w:rsidRPr="003A615C" w:rsidRDefault="00040F60" w:rsidP="00040F60">
      <w:pPr>
        <w:pStyle w:val="Heading1"/>
        <w:ind w:left="851" w:hanging="851"/>
      </w:pPr>
      <w:r w:rsidRPr="003A615C">
        <w:t>DRAFT: Retrenchment plan template</w:t>
      </w:r>
    </w:p>
    <w:p w14:paraId="0BA2EE37" w14:textId="77777777" w:rsidR="00040F60" w:rsidRPr="009A0A38" w:rsidRDefault="00040F60" w:rsidP="00040F60">
      <w:pPr>
        <w:keepNext/>
        <w:keepLines/>
        <w:spacing w:line="300" w:lineRule="atLeast"/>
        <w:outlineLvl w:val="1"/>
        <w:rPr>
          <w:rFonts w:asciiTheme="minorHAnsi" w:hAnsiTheme="minorHAnsi"/>
          <w:b/>
          <w:bCs/>
          <w:color w:val="EF7D00" w:themeColor="background1"/>
        </w:rPr>
      </w:pPr>
      <w:r w:rsidRPr="009A0A38">
        <w:rPr>
          <w:rFonts w:asciiTheme="minorHAnsi" w:hAnsiTheme="minorHAnsi"/>
          <w:b/>
          <w:bCs/>
          <w:color w:val="EF7D00" w:themeColor="background1"/>
        </w:rPr>
        <w:t>How to use this template</w:t>
      </w:r>
    </w:p>
    <w:p w14:paraId="04996D74" w14:textId="77777777" w:rsidR="00040F60" w:rsidRDefault="00040F60" w:rsidP="00040F60">
      <w:r w:rsidRPr="00BE7B71">
        <w:t xml:space="preserve">This template is designed to assist your organisation to develop a </w:t>
      </w:r>
      <w:r>
        <w:t>retrenchment plan that</w:t>
      </w:r>
      <w:r w:rsidRPr="00BE7B71">
        <w:t xml:space="preserve"> </w:t>
      </w:r>
      <w:r>
        <w:t>aligns with</w:t>
      </w:r>
      <w:r w:rsidRPr="00BE7B71">
        <w:t xml:space="preserve"> investor standards </w:t>
      </w:r>
      <w:r>
        <w:t>on retrenchment management</w:t>
      </w:r>
      <w:r w:rsidRPr="00BE7B71">
        <w:t>, particularly IFC Performance Standard 2 (PS2)</w:t>
      </w:r>
      <w:r>
        <w:t>.</w:t>
      </w:r>
    </w:p>
    <w:p w14:paraId="4B206561" w14:textId="77777777" w:rsidR="00040F60" w:rsidRPr="00BE7B71" w:rsidRDefault="00040F60" w:rsidP="00040F60"/>
    <w:tbl>
      <w:tblPr>
        <w:tblStyle w:val="TableGrid"/>
        <w:tblW w:w="0" w:type="auto"/>
        <w:tblLook w:val="04A0" w:firstRow="1" w:lastRow="0" w:firstColumn="1" w:lastColumn="0" w:noHBand="0" w:noVBand="1"/>
      </w:tblPr>
      <w:tblGrid>
        <w:gridCol w:w="9044"/>
      </w:tblGrid>
      <w:tr w:rsidR="00040F60" w:rsidRPr="003A615C" w14:paraId="22F43FFE" w14:textId="77777777" w:rsidTr="003A615C">
        <w:trPr>
          <w:trHeight w:val="341"/>
        </w:trPr>
        <w:tc>
          <w:tcPr>
            <w:tcW w:w="9044" w:type="dxa"/>
          </w:tcPr>
          <w:p w14:paraId="0D08BAD5" w14:textId="77777777" w:rsidR="00040F60" w:rsidRPr="003A615C" w:rsidRDefault="00040F60" w:rsidP="00B80963">
            <w:pPr>
              <w:spacing w:line="240" w:lineRule="atLeast"/>
              <w:rPr>
                <w:b/>
                <w:bCs/>
                <w:sz w:val="22"/>
                <w:szCs w:val="22"/>
              </w:rPr>
            </w:pPr>
            <w:r w:rsidRPr="003A615C">
              <w:rPr>
                <w:b/>
                <w:bCs/>
                <w:sz w:val="22"/>
                <w:szCs w:val="22"/>
              </w:rPr>
              <w:t>IFC Performance Standard 2 on retrenchment (PS2.18 &amp; 2.19)</w:t>
            </w:r>
          </w:p>
        </w:tc>
      </w:tr>
      <w:tr w:rsidR="00040F60" w:rsidRPr="003A615C" w14:paraId="01873CB5" w14:textId="77777777" w:rsidTr="003A615C">
        <w:trPr>
          <w:trHeight w:val="3443"/>
        </w:trPr>
        <w:tc>
          <w:tcPr>
            <w:tcW w:w="9044" w:type="dxa"/>
          </w:tcPr>
          <w:p w14:paraId="0F47B91C" w14:textId="77777777" w:rsidR="00040F60" w:rsidRPr="003A615C" w:rsidRDefault="00040F60" w:rsidP="00B80963">
            <w:pPr>
              <w:spacing w:line="240" w:lineRule="atLeast"/>
              <w:rPr>
                <w:sz w:val="22"/>
                <w:szCs w:val="22"/>
              </w:rPr>
            </w:pPr>
            <w:r w:rsidRPr="003A615C">
              <w:rPr>
                <w:sz w:val="22"/>
                <w:szCs w:val="22"/>
              </w:rPr>
              <w:t>18. Prior to implementing any collective dismissals, the client will carry out an analysis of alternatives to retrenchment. If the analysis does not identify viable alternatives to retrenchment, a retrenchment plan will be developed and implemented to reduce the adverse impacts of retrenchment on workers. The retrenchment plan will be based on the principle of non-discrimination and will reflect the client’s consultation with workers, their organizations, and, where appropriate, the government, and comply with collective bargaining agreements if they exist. The client will comply with all legal and contractual requirements related to notification of public authorities, and provision of information to, and consultation with workers and their organizations.</w:t>
            </w:r>
          </w:p>
          <w:p w14:paraId="4D9525BD" w14:textId="77777777" w:rsidR="00040F60" w:rsidRPr="003A615C" w:rsidRDefault="00040F60" w:rsidP="00B80963">
            <w:pPr>
              <w:spacing w:line="240" w:lineRule="atLeast"/>
              <w:rPr>
                <w:sz w:val="22"/>
                <w:szCs w:val="22"/>
              </w:rPr>
            </w:pPr>
          </w:p>
          <w:p w14:paraId="6DD590D5" w14:textId="77777777" w:rsidR="00040F60" w:rsidRPr="003A615C" w:rsidRDefault="00040F60" w:rsidP="00B80963">
            <w:pPr>
              <w:spacing w:line="240" w:lineRule="atLeast"/>
              <w:rPr>
                <w:sz w:val="22"/>
                <w:szCs w:val="22"/>
              </w:rPr>
            </w:pPr>
            <w:r w:rsidRPr="003A615C">
              <w:rPr>
                <w:sz w:val="22"/>
                <w:szCs w:val="22"/>
              </w:rPr>
              <w:t>19. The client should ensure that all workers receive notice of dismissal and severance payments mandated by law and collective agreements in a timely manner. All outstanding back pay and social security benefits and pension contributions and benefits will be paid (</w:t>
            </w:r>
            <w:proofErr w:type="spellStart"/>
            <w:r w:rsidRPr="003A615C">
              <w:rPr>
                <w:sz w:val="22"/>
                <w:szCs w:val="22"/>
              </w:rPr>
              <w:t>i</w:t>
            </w:r>
            <w:proofErr w:type="spellEnd"/>
            <w:r w:rsidRPr="003A615C">
              <w:rPr>
                <w:sz w:val="22"/>
                <w:szCs w:val="22"/>
              </w:rPr>
              <w:t>) on or before termination of the working relationship to the workers, (ii) where appropriate, for the benefit of the workers, or (iii) payment will be made in accordance with a timeline agreed through a collective agreement. Where payments are made for the benefit of workers, workers will be provided with evidence of such payments.</w:t>
            </w:r>
          </w:p>
          <w:p w14:paraId="35223F07" w14:textId="77777777" w:rsidR="00040F60" w:rsidRPr="003A615C" w:rsidRDefault="00040F60" w:rsidP="00B80963">
            <w:pPr>
              <w:spacing w:line="240" w:lineRule="atLeast"/>
              <w:rPr>
                <w:sz w:val="22"/>
                <w:szCs w:val="22"/>
              </w:rPr>
            </w:pPr>
          </w:p>
          <w:p w14:paraId="7DD8CEEC" w14:textId="77777777" w:rsidR="00040F60" w:rsidRPr="003A615C" w:rsidRDefault="00040F60" w:rsidP="00B80963">
            <w:pPr>
              <w:spacing w:line="240" w:lineRule="atLeast"/>
              <w:rPr>
                <w:sz w:val="22"/>
                <w:szCs w:val="22"/>
              </w:rPr>
            </w:pPr>
            <w:r w:rsidRPr="003A615C">
              <w:rPr>
                <w:sz w:val="22"/>
                <w:szCs w:val="22"/>
              </w:rPr>
              <w:t>For further guidance, see: IFC, Good Practice Note: Managing Retrenchment (2005): &lt;https://www.ifc.org/en/insights-reports/2000/publications-gpn-retrenchment&gt;</w:t>
            </w:r>
          </w:p>
        </w:tc>
      </w:tr>
    </w:tbl>
    <w:p w14:paraId="3C30A0BB" w14:textId="77777777" w:rsidR="00040F60" w:rsidRDefault="00040F60" w:rsidP="00040F60"/>
    <w:p w14:paraId="3092E985" w14:textId="77777777" w:rsidR="00040F60" w:rsidRDefault="00040F60" w:rsidP="00040F60">
      <w:r>
        <w:t>The purpose of a retrenchment plan is to ensure that companies adequately consider alternatives to retrenchment and solicit perspectives from the workforce and worker representatives through consultation. If viable alternatives to retrenchment are not possible, retrenchment planning ensures that the process is transparent and impacts on workers are minimised. It should also ensure that impacted workers receive all legal benefits and entitlements, including severance payments, share options, and gratuity payments as relevant.</w:t>
      </w:r>
    </w:p>
    <w:p w14:paraId="6D829B14" w14:textId="77777777" w:rsidR="00040F60" w:rsidRDefault="00040F60" w:rsidP="00040F60"/>
    <w:p w14:paraId="0F15727B" w14:textId="33BCCFF4" w:rsidR="00040F60" w:rsidRDefault="00040F60" w:rsidP="00040F60">
      <w:r>
        <w:t>Proper planning is crucial, since a poorly implemented retrenchment process may result in adverse operational impacts, especially if it is perceived that retrenchment was unfair or unnecessary. An improperly executed retrenchment can also lead to legal risks (</w:t>
      </w:r>
      <w:proofErr w:type="gramStart"/>
      <w:r>
        <w:t>e.g.</w:t>
      </w:r>
      <w:proofErr w:type="gramEnd"/>
      <w:r>
        <w:t xml:space="preserve"> in the case of non-payment of statutory severance or other entitlements) and reputational risks which may negatively impact the owners or founders in future fundraising rounds.  </w:t>
      </w:r>
    </w:p>
    <w:p w14:paraId="5C9DC518" w14:textId="77777777" w:rsidR="00040F60" w:rsidRDefault="00040F60">
      <w:pPr>
        <w:spacing w:line="240" w:lineRule="auto"/>
      </w:pPr>
      <w:r>
        <w:br w:type="page"/>
      </w:r>
    </w:p>
    <w:p w14:paraId="288A403D" w14:textId="2B9F2042" w:rsidR="00040F60" w:rsidRDefault="00040F60" w:rsidP="00040F60">
      <w:r w:rsidRPr="00D950D1">
        <w:lastRenderedPageBreak/>
        <w:t xml:space="preserve">Below is a </w:t>
      </w:r>
      <w:r>
        <w:t>retrenchment plan</w:t>
      </w:r>
      <w:r w:rsidRPr="00D950D1">
        <w:t xml:space="preserve"> template that </w:t>
      </w:r>
      <w:r>
        <w:t>can be used to ensure that planning is undertaken in a manner consistent with investor standards</w:t>
      </w:r>
      <w:r w:rsidRPr="00D950D1">
        <w:t>.</w:t>
      </w:r>
    </w:p>
    <w:p w14:paraId="58349E15" w14:textId="77777777" w:rsidR="00040F60" w:rsidRPr="00040F60" w:rsidRDefault="00040F60" w:rsidP="00040F60"/>
    <w:p w14:paraId="5F593F8D" w14:textId="77777777" w:rsidR="00040F60" w:rsidRDefault="00040F60" w:rsidP="00040F60">
      <w:pPr>
        <w:pStyle w:val="Heading1"/>
      </w:pPr>
      <w:r>
        <w:t>Retrenchment plan template</w:t>
      </w:r>
    </w:p>
    <w:tbl>
      <w:tblPr>
        <w:tblStyle w:val="TableGrid"/>
        <w:tblW w:w="0" w:type="auto"/>
        <w:tblLook w:val="04A0" w:firstRow="1" w:lastRow="0" w:firstColumn="1" w:lastColumn="0" w:noHBand="0" w:noVBand="1"/>
      </w:tblPr>
      <w:tblGrid>
        <w:gridCol w:w="3402"/>
        <w:gridCol w:w="5658"/>
      </w:tblGrid>
      <w:tr w:rsidR="003A615C" w:rsidRPr="003A615C" w14:paraId="46247C1E" w14:textId="77777777" w:rsidTr="003A615C">
        <w:trPr>
          <w:trHeight w:val="336"/>
        </w:trPr>
        <w:tc>
          <w:tcPr>
            <w:tcW w:w="9060" w:type="dxa"/>
            <w:gridSpan w:val="2"/>
          </w:tcPr>
          <w:p w14:paraId="7DE7F164" w14:textId="77777777" w:rsidR="00040F60" w:rsidRPr="009203ED" w:rsidRDefault="00040F60" w:rsidP="00B80963">
            <w:pPr>
              <w:pStyle w:val="Tabletitle"/>
              <w:rPr>
                <w:b/>
                <w:bCs/>
                <w:color w:val="auto"/>
                <w:sz w:val="22"/>
                <w:szCs w:val="28"/>
              </w:rPr>
            </w:pPr>
            <w:r w:rsidRPr="009203ED">
              <w:rPr>
                <w:b/>
                <w:bCs/>
                <w:color w:val="auto"/>
                <w:sz w:val="22"/>
                <w:szCs w:val="28"/>
              </w:rPr>
              <w:t>Responsibility</w:t>
            </w:r>
          </w:p>
        </w:tc>
      </w:tr>
      <w:tr w:rsidR="003A615C" w:rsidRPr="003A615C" w14:paraId="2D1216F7" w14:textId="77777777" w:rsidTr="003A615C">
        <w:tc>
          <w:tcPr>
            <w:tcW w:w="3402" w:type="dxa"/>
          </w:tcPr>
          <w:p w14:paraId="00BA6F3B" w14:textId="77777777" w:rsidR="00040F60" w:rsidRPr="003A615C" w:rsidRDefault="00040F60" w:rsidP="00B80963">
            <w:pPr>
              <w:pStyle w:val="Tabletext"/>
              <w:rPr>
                <w:color w:val="auto"/>
                <w:sz w:val="22"/>
                <w:szCs w:val="28"/>
              </w:rPr>
            </w:pPr>
            <w:r w:rsidRPr="003A615C">
              <w:rPr>
                <w:color w:val="auto"/>
                <w:sz w:val="22"/>
                <w:szCs w:val="28"/>
              </w:rPr>
              <w:t>Responsibility</w:t>
            </w:r>
          </w:p>
        </w:tc>
        <w:tc>
          <w:tcPr>
            <w:tcW w:w="5658" w:type="dxa"/>
          </w:tcPr>
          <w:p w14:paraId="0B49E63B" w14:textId="77777777" w:rsidR="00040F60" w:rsidRPr="003A615C" w:rsidRDefault="00040F60" w:rsidP="00B80963">
            <w:pPr>
              <w:pStyle w:val="Tabletext"/>
              <w:rPr>
                <w:i/>
                <w:iCs/>
                <w:color w:val="auto"/>
                <w:sz w:val="22"/>
                <w:szCs w:val="28"/>
              </w:rPr>
            </w:pPr>
            <w:r w:rsidRPr="003A615C">
              <w:rPr>
                <w:i/>
                <w:iCs/>
                <w:color w:val="auto"/>
                <w:sz w:val="22"/>
                <w:szCs w:val="28"/>
              </w:rPr>
              <w:t>Function, committee, team</w:t>
            </w:r>
          </w:p>
        </w:tc>
      </w:tr>
      <w:tr w:rsidR="003A615C" w:rsidRPr="003A615C" w14:paraId="18811919" w14:textId="77777777" w:rsidTr="003A615C">
        <w:tc>
          <w:tcPr>
            <w:tcW w:w="3402" w:type="dxa"/>
          </w:tcPr>
          <w:p w14:paraId="2A07C32F" w14:textId="77777777" w:rsidR="00040F60" w:rsidRPr="003A615C" w:rsidRDefault="00040F60" w:rsidP="00B80963">
            <w:pPr>
              <w:pStyle w:val="Tabletext"/>
              <w:rPr>
                <w:color w:val="auto"/>
                <w:sz w:val="22"/>
                <w:szCs w:val="28"/>
              </w:rPr>
            </w:pPr>
            <w:r w:rsidRPr="003A615C">
              <w:rPr>
                <w:color w:val="auto"/>
                <w:sz w:val="22"/>
                <w:szCs w:val="28"/>
              </w:rPr>
              <w:t>Completed by</w:t>
            </w:r>
          </w:p>
        </w:tc>
        <w:tc>
          <w:tcPr>
            <w:tcW w:w="5658" w:type="dxa"/>
          </w:tcPr>
          <w:p w14:paraId="06D79BCF" w14:textId="77777777" w:rsidR="00040F60" w:rsidRPr="003A615C" w:rsidRDefault="00040F60" w:rsidP="00B80963">
            <w:pPr>
              <w:pStyle w:val="Tabletext"/>
              <w:rPr>
                <w:i/>
                <w:iCs/>
                <w:color w:val="auto"/>
                <w:sz w:val="22"/>
                <w:szCs w:val="28"/>
              </w:rPr>
            </w:pPr>
            <w:r w:rsidRPr="003A615C">
              <w:rPr>
                <w:i/>
                <w:iCs/>
                <w:color w:val="auto"/>
                <w:sz w:val="22"/>
                <w:szCs w:val="28"/>
              </w:rPr>
              <w:t>Name(s)</w:t>
            </w:r>
          </w:p>
        </w:tc>
      </w:tr>
    </w:tbl>
    <w:p w14:paraId="2BAC9B74" w14:textId="77777777" w:rsidR="00040F60" w:rsidRDefault="00040F60" w:rsidP="00040F60"/>
    <w:tbl>
      <w:tblPr>
        <w:tblStyle w:val="TableGrid"/>
        <w:tblW w:w="0" w:type="auto"/>
        <w:tblLook w:val="04A0" w:firstRow="1" w:lastRow="0" w:firstColumn="1" w:lastColumn="0" w:noHBand="0" w:noVBand="1"/>
      </w:tblPr>
      <w:tblGrid>
        <w:gridCol w:w="3402"/>
        <w:gridCol w:w="5658"/>
      </w:tblGrid>
      <w:tr w:rsidR="003A615C" w:rsidRPr="003A615C" w14:paraId="4D17611F" w14:textId="77777777" w:rsidTr="003A615C">
        <w:trPr>
          <w:trHeight w:val="336"/>
        </w:trPr>
        <w:tc>
          <w:tcPr>
            <w:tcW w:w="9060" w:type="dxa"/>
            <w:gridSpan w:val="2"/>
          </w:tcPr>
          <w:p w14:paraId="17D4784A" w14:textId="77777777" w:rsidR="00040F60" w:rsidRPr="009203ED" w:rsidRDefault="00040F60" w:rsidP="00B80963">
            <w:pPr>
              <w:pStyle w:val="Tabletitle"/>
              <w:rPr>
                <w:b/>
                <w:bCs/>
                <w:color w:val="auto"/>
                <w:sz w:val="22"/>
                <w:szCs w:val="28"/>
              </w:rPr>
            </w:pPr>
            <w:bookmarkStart w:id="0" w:name="_Hlk144288000"/>
            <w:r w:rsidRPr="009203ED">
              <w:rPr>
                <w:b/>
                <w:bCs/>
                <w:color w:val="auto"/>
                <w:sz w:val="22"/>
                <w:szCs w:val="28"/>
              </w:rPr>
              <w:t>Background and rationale</w:t>
            </w:r>
          </w:p>
        </w:tc>
      </w:tr>
      <w:tr w:rsidR="003A615C" w:rsidRPr="003A615C" w14:paraId="07E16C1F" w14:textId="77777777" w:rsidTr="003A615C">
        <w:tc>
          <w:tcPr>
            <w:tcW w:w="3402" w:type="dxa"/>
          </w:tcPr>
          <w:p w14:paraId="14F5C73B" w14:textId="77777777" w:rsidR="00040F60" w:rsidRPr="003A615C" w:rsidRDefault="00040F60" w:rsidP="00B80963">
            <w:pPr>
              <w:pStyle w:val="Tabletext"/>
              <w:rPr>
                <w:color w:val="auto"/>
                <w:sz w:val="22"/>
                <w:szCs w:val="28"/>
              </w:rPr>
            </w:pPr>
            <w:r w:rsidRPr="003A615C">
              <w:rPr>
                <w:color w:val="auto"/>
                <w:sz w:val="22"/>
                <w:szCs w:val="28"/>
              </w:rPr>
              <w:t>Business rationale for redundancies and relevant economic context</w:t>
            </w:r>
          </w:p>
        </w:tc>
        <w:tc>
          <w:tcPr>
            <w:tcW w:w="5658" w:type="dxa"/>
          </w:tcPr>
          <w:p w14:paraId="33E8DFE0" w14:textId="77777777" w:rsidR="00040F60" w:rsidRPr="003A615C" w:rsidRDefault="00040F60" w:rsidP="00B80963">
            <w:pPr>
              <w:pStyle w:val="Tabletext"/>
              <w:rPr>
                <w:color w:val="auto"/>
                <w:sz w:val="22"/>
                <w:szCs w:val="28"/>
              </w:rPr>
            </w:pPr>
          </w:p>
        </w:tc>
      </w:tr>
      <w:tr w:rsidR="003A615C" w:rsidRPr="003A615C" w14:paraId="2AAB9513" w14:textId="77777777" w:rsidTr="003A615C">
        <w:tc>
          <w:tcPr>
            <w:tcW w:w="3402" w:type="dxa"/>
          </w:tcPr>
          <w:p w14:paraId="6DFD8945" w14:textId="77777777" w:rsidR="00040F60" w:rsidRPr="003A615C" w:rsidRDefault="00040F60" w:rsidP="00B80963">
            <w:pPr>
              <w:pStyle w:val="Tabletext"/>
              <w:rPr>
                <w:color w:val="auto"/>
                <w:sz w:val="22"/>
                <w:szCs w:val="28"/>
              </w:rPr>
            </w:pPr>
            <w:r w:rsidRPr="003A615C">
              <w:rPr>
                <w:color w:val="auto"/>
                <w:sz w:val="22"/>
                <w:szCs w:val="28"/>
              </w:rPr>
              <w:t>Workforce demographics</w:t>
            </w:r>
          </w:p>
        </w:tc>
        <w:tc>
          <w:tcPr>
            <w:tcW w:w="5658" w:type="dxa"/>
          </w:tcPr>
          <w:p w14:paraId="32881C1F" w14:textId="77777777" w:rsidR="00040F60" w:rsidRPr="003A615C" w:rsidRDefault="00040F60" w:rsidP="00B80963">
            <w:pPr>
              <w:pStyle w:val="Tabletext"/>
              <w:rPr>
                <w:i/>
                <w:iCs/>
                <w:color w:val="auto"/>
                <w:sz w:val="22"/>
                <w:szCs w:val="28"/>
              </w:rPr>
            </w:pPr>
            <w:r w:rsidRPr="003A615C">
              <w:rPr>
                <w:i/>
                <w:iCs/>
                <w:color w:val="auto"/>
                <w:sz w:val="22"/>
                <w:szCs w:val="28"/>
              </w:rPr>
              <w:t>Number of men &amp; women employed, by skill level and contract type</w:t>
            </w:r>
          </w:p>
        </w:tc>
      </w:tr>
      <w:tr w:rsidR="003A615C" w:rsidRPr="003A615C" w14:paraId="3DFDC77F" w14:textId="77777777" w:rsidTr="003A615C">
        <w:trPr>
          <w:trHeight w:val="68"/>
        </w:trPr>
        <w:tc>
          <w:tcPr>
            <w:tcW w:w="3402" w:type="dxa"/>
          </w:tcPr>
          <w:p w14:paraId="1382BC24" w14:textId="77777777" w:rsidR="00040F60" w:rsidRPr="003A615C" w:rsidRDefault="00040F60" w:rsidP="00B80963">
            <w:pPr>
              <w:pStyle w:val="Tabletext"/>
              <w:rPr>
                <w:color w:val="auto"/>
                <w:sz w:val="22"/>
                <w:szCs w:val="28"/>
              </w:rPr>
            </w:pPr>
            <w:r w:rsidRPr="003A615C">
              <w:rPr>
                <w:color w:val="auto"/>
                <w:sz w:val="22"/>
                <w:szCs w:val="28"/>
              </w:rPr>
              <w:t>Scale of potential redundancy</w:t>
            </w:r>
          </w:p>
        </w:tc>
        <w:tc>
          <w:tcPr>
            <w:tcW w:w="5658" w:type="dxa"/>
          </w:tcPr>
          <w:p w14:paraId="19787A70" w14:textId="77777777" w:rsidR="00040F60" w:rsidRPr="003A615C" w:rsidRDefault="00040F60" w:rsidP="00B80963">
            <w:pPr>
              <w:pStyle w:val="Tabletext"/>
              <w:rPr>
                <w:i/>
                <w:iCs/>
                <w:color w:val="auto"/>
                <w:sz w:val="22"/>
                <w:szCs w:val="28"/>
              </w:rPr>
            </w:pPr>
            <w:r w:rsidRPr="003A615C">
              <w:rPr>
                <w:i/>
                <w:iCs/>
                <w:color w:val="auto"/>
                <w:sz w:val="22"/>
                <w:szCs w:val="28"/>
              </w:rPr>
              <w:t>Number of men &amp; women to be retrenched, by skill level and contract type</w:t>
            </w:r>
          </w:p>
        </w:tc>
      </w:tr>
      <w:bookmarkEnd w:id="0"/>
    </w:tbl>
    <w:p w14:paraId="4BDB1E70" w14:textId="77777777" w:rsidR="00040F60" w:rsidRDefault="00040F60" w:rsidP="00040F60">
      <w:pPr>
        <w:rPr>
          <w:iCs/>
        </w:rPr>
      </w:pPr>
    </w:p>
    <w:tbl>
      <w:tblPr>
        <w:tblStyle w:val="TableGrid"/>
        <w:tblW w:w="0" w:type="auto"/>
        <w:tblLook w:val="04A0" w:firstRow="1" w:lastRow="0" w:firstColumn="1" w:lastColumn="0" w:noHBand="0" w:noVBand="1"/>
      </w:tblPr>
      <w:tblGrid>
        <w:gridCol w:w="5387"/>
        <w:gridCol w:w="3673"/>
      </w:tblGrid>
      <w:tr w:rsidR="009203ED" w:rsidRPr="009203ED" w14:paraId="14493061" w14:textId="77777777" w:rsidTr="003A615C">
        <w:trPr>
          <w:trHeight w:val="336"/>
        </w:trPr>
        <w:tc>
          <w:tcPr>
            <w:tcW w:w="9060" w:type="dxa"/>
            <w:gridSpan w:val="2"/>
          </w:tcPr>
          <w:p w14:paraId="302B9D95" w14:textId="77777777" w:rsidR="00040F60" w:rsidRPr="009203ED" w:rsidRDefault="00040F60" w:rsidP="00B80963">
            <w:pPr>
              <w:pStyle w:val="Tabletitle"/>
              <w:rPr>
                <w:b/>
                <w:bCs/>
                <w:color w:val="auto"/>
                <w:sz w:val="22"/>
                <w:szCs w:val="28"/>
              </w:rPr>
            </w:pPr>
            <w:r w:rsidRPr="009203ED">
              <w:rPr>
                <w:b/>
                <w:bCs/>
                <w:color w:val="auto"/>
                <w:sz w:val="22"/>
                <w:szCs w:val="28"/>
              </w:rPr>
              <w:t>Alternatives to redundancy</w:t>
            </w:r>
          </w:p>
        </w:tc>
      </w:tr>
      <w:tr w:rsidR="009203ED" w:rsidRPr="009203ED" w14:paraId="3AB97C9A" w14:textId="77777777" w:rsidTr="003A615C">
        <w:tc>
          <w:tcPr>
            <w:tcW w:w="5387" w:type="dxa"/>
          </w:tcPr>
          <w:p w14:paraId="56D1A525" w14:textId="77777777" w:rsidR="00040F60" w:rsidRPr="009203ED" w:rsidRDefault="00040F60" w:rsidP="00B80963">
            <w:pPr>
              <w:pStyle w:val="Tabletitle"/>
              <w:rPr>
                <w:color w:val="auto"/>
                <w:sz w:val="22"/>
                <w:szCs w:val="28"/>
              </w:rPr>
            </w:pPr>
            <w:r w:rsidRPr="009203ED">
              <w:rPr>
                <w:color w:val="auto"/>
                <w:sz w:val="22"/>
                <w:szCs w:val="28"/>
              </w:rPr>
              <w:t xml:space="preserve">Description of alternative </w:t>
            </w:r>
          </w:p>
        </w:tc>
        <w:tc>
          <w:tcPr>
            <w:tcW w:w="3673" w:type="dxa"/>
          </w:tcPr>
          <w:p w14:paraId="43B96737" w14:textId="77777777" w:rsidR="00040F60" w:rsidRPr="009203ED" w:rsidRDefault="00040F60" w:rsidP="00B80963">
            <w:pPr>
              <w:pStyle w:val="Tabletitle"/>
              <w:rPr>
                <w:color w:val="auto"/>
                <w:sz w:val="22"/>
                <w:szCs w:val="28"/>
              </w:rPr>
            </w:pPr>
            <w:r w:rsidRPr="009203ED">
              <w:rPr>
                <w:color w:val="auto"/>
                <w:sz w:val="22"/>
                <w:szCs w:val="28"/>
              </w:rPr>
              <w:t>Feasibility (incl. cost breakdown)</w:t>
            </w:r>
          </w:p>
        </w:tc>
      </w:tr>
      <w:tr w:rsidR="009203ED" w:rsidRPr="009203ED" w14:paraId="0358D907" w14:textId="77777777" w:rsidTr="003A615C">
        <w:tc>
          <w:tcPr>
            <w:tcW w:w="5387" w:type="dxa"/>
          </w:tcPr>
          <w:p w14:paraId="78EDEEB1" w14:textId="77777777" w:rsidR="00040F60" w:rsidRPr="009203ED" w:rsidRDefault="00040F60" w:rsidP="00B80963">
            <w:pPr>
              <w:pStyle w:val="Tabletext"/>
              <w:rPr>
                <w:color w:val="auto"/>
                <w:sz w:val="22"/>
                <w:szCs w:val="28"/>
              </w:rPr>
            </w:pPr>
            <w:r w:rsidRPr="009203ED">
              <w:rPr>
                <w:color w:val="auto"/>
                <w:sz w:val="22"/>
                <w:szCs w:val="28"/>
              </w:rPr>
              <w:t>e.g.  reduction in working hours</w:t>
            </w:r>
          </w:p>
        </w:tc>
        <w:tc>
          <w:tcPr>
            <w:tcW w:w="3673" w:type="dxa"/>
          </w:tcPr>
          <w:p w14:paraId="5AEAF8D5" w14:textId="77777777" w:rsidR="00040F60" w:rsidRPr="009203ED" w:rsidRDefault="00040F60" w:rsidP="00B80963">
            <w:pPr>
              <w:pStyle w:val="Tabletext"/>
              <w:rPr>
                <w:color w:val="auto"/>
                <w:sz w:val="22"/>
                <w:szCs w:val="28"/>
              </w:rPr>
            </w:pPr>
          </w:p>
        </w:tc>
      </w:tr>
      <w:tr w:rsidR="009203ED" w:rsidRPr="009203ED" w14:paraId="1033C258" w14:textId="77777777" w:rsidTr="003A615C">
        <w:tc>
          <w:tcPr>
            <w:tcW w:w="5387" w:type="dxa"/>
          </w:tcPr>
          <w:p w14:paraId="028A8643" w14:textId="77777777" w:rsidR="00040F60" w:rsidRPr="009203ED" w:rsidRDefault="00040F60" w:rsidP="00B80963">
            <w:pPr>
              <w:pStyle w:val="Tabletext"/>
              <w:rPr>
                <w:color w:val="auto"/>
                <w:sz w:val="22"/>
                <w:szCs w:val="28"/>
              </w:rPr>
            </w:pPr>
            <w:proofErr w:type="gramStart"/>
            <w:r w:rsidRPr="009203ED">
              <w:rPr>
                <w:color w:val="auto"/>
                <w:sz w:val="22"/>
                <w:szCs w:val="28"/>
              </w:rPr>
              <w:t>e.g.</w:t>
            </w:r>
            <w:proofErr w:type="gramEnd"/>
            <w:r w:rsidRPr="009203ED">
              <w:rPr>
                <w:color w:val="auto"/>
                <w:sz w:val="22"/>
                <w:szCs w:val="28"/>
              </w:rPr>
              <w:t xml:space="preserve"> reduction in use of the outsourced / third-party contractors</w:t>
            </w:r>
          </w:p>
        </w:tc>
        <w:tc>
          <w:tcPr>
            <w:tcW w:w="3673" w:type="dxa"/>
          </w:tcPr>
          <w:p w14:paraId="174D6BF8" w14:textId="77777777" w:rsidR="00040F60" w:rsidRPr="009203ED" w:rsidRDefault="00040F60" w:rsidP="00B80963">
            <w:pPr>
              <w:pStyle w:val="Tabletext"/>
              <w:rPr>
                <w:color w:val="auto"/>
                <w:sz w:val="22"/>
                <w:szCs w:val="28"/>
              </w:rPr>
            </w:pPr>
          </w:p>
        </w:tc>
      </w:tr>
      <w:tr w:rsidR="009203ED" w:rsidRPr="009203ED" w14:paraId="133D1680" w14:textId="77777777" w:rsidTr="003A615C">
        <w:tc>
          <w:tcPr>
            <w:tcW w:w="5387" w:type="dxa"/>
          </w:tcPr>
          <w:p w14:paraId="2CB36BC2" w14:textId="77777777" w:rsidR="00040F60" w:rsidRPr="009203ED" w:rsidRDefault="00040F60" w:rsidP="00B80963">
            <w:pPr>
              <w:pStyle w:val="Tabletext"/>
              <w:rPr>
                <w:color w:val="auto"/>
                <w:sz w:val="22"/>
                <w:szCs w:val="28"/>
              </w:rPr>
            </w:pPr>
            <w:proofErr w:type="gramStart"/>
            <w:r w:rsidRPr="009203ED">
              <w:rPr>
                <w:color w:val="auto"/>
                <w:sz w:val="22"/>
                <w:szCs w:val="28"/>
              </w:rPr>
              <w:t>e.g.</w:t>
            </w:r>
            <w:proofErr w:type="gramEnd"/>
            <w:r w:rsidRPr="009203ED">
              <w:rPr>
                <w:color w:val="auto"/>
                <w:sz w:val="22"/>
                <w:szCs w:val="28"/>
              </w:rPr>
              <w:t xml:space="preserve"> workforce reduction through natural workforce attrition</w:t>
            </w:r>
          </w:p>
        </w:tc>
        <w:tc>
          <w:tcPr>
            <w:tcW w:w="3673" w:type="dxa"/>
          </w:tcPr>
          <w:p w14:paraId="7A39B762" w14:textId="77777777" w:rsidR="00040F60" w:rsidRPr="009203ED" w:rsidRDefault="00040F60" w:rsidP="00B80963">
            <w:pPr>
              <w:pStyle w:val="Tabletext"/>
              <w:rPr>
                <w:color w:val="auto"/>
                <w:sz w:val="22"/>
                <w:szCs w:val="28"/>
              </w:rPr>
            </w:pPr>
          </w:p>
        </w:tc>
      </w:tr>
      <w:tr w:rsidR="009203ED" w:rsidRPr="009203ED" w14:paraId="71D11AAC" w14:textId="77777777" w:rsidTr="003A615C">
        <w:tc>
          <w:tcPr>
            <w:tcW w:w="5387" w:type="dxa"/>
          </w:tcPr>
          <w:p w14:paraId="2994F58F" w14:textId="77777777" w:rsidR="00040F60" w:rsidRPr="009203ED" w:rsidRDefault="00040F60" w:rsidP="00B80963">
            <w:pPr>
              <w:pStyle w:val="Tabletext"/>
              <w:rPr>
                <w:color w:val="auto"/>
                <w:sz w:val="22"/>
                <w:szCs w:val="28"/>
              </w:rPr>
            </w:pPr>
            <w:proofErr w:type="gramStart"/>
            <w:r w:rsidRPr="009203ED">
              <w:rPr>
                <w:color w:val="auto"/>
                <w:sz w:val="22"/>
                <w:szCs w:val="28"/>
              </w:rPr>
              <w:t>e.g.</w:t>
            </w:r>
            <w:proofErr w:type="gramEnd"/>
            <w:r w:rsidRPr="009203ED">
              <w:rPr>
                <w:color w:val="auto"/>
                <w:sz w:val="22"/>
                <w:szCs w:val="28"/>
              </w:rPr>
              <w:t xml:space="preserve"> leave</w:t>
            </w:r>
          </w:p>
        </w:tc>
        <w:tc>
          <w:tcPr>
            <w:tcW w:w="3673" w:type="dxa"/>
          </w:tcPr>
          <w:p w14:paraId="529D263F" w14:textId="77777777" w:rsidR="00040F60" w:rsidRPr="009203ED" w:rsidRDefault="00040F60" w:rsidP="00B80963">
            <w:pPr>
              <w:pStyle w:val="Tabletext"/>
              <w:rPr>
                <w:color w:val="auto"/>
                <w:sz w:val="22"/>
                <w:szCs w:val="28"/>
              </w:rPr>
            </w:pPr>
          </w:p>
        </w:tc>
      </w:tr>
      <w:tr w:rsidR="009203ED" w:rsidRPr="009203ED" w14:paraId="59A22C94" w14:textId="77777777" w:rsidTr="003A615C">
        <w:tc>
          <w:tcPr>
            <w:tcW w:w="5387" w:type="dxa"/>
          </w:tcPr>
          <w:p w14:paraId="7DF925E0" w14:textId="77777777" w:rsidR="00040F60" w:rsidRPr="009203ED" w:rsidRDefault="00040F60" w:rsidP="00B80963">
            <w:pPr>
              <w:pStyle w:val="Tabletext"/>
              <w:rPr>
                <w:color w:val="auto"/>
                <w:sz w:val="22"/>
                <w:szCs w:val="28"/>
              </w:rPr>
            </w:pPr>
            <w:proofErr w:type="gramStart"/>
            <w:r w:rsidRPr="009203ED">
              <w:rPr>
                <w:color w:val="auto"/>
                <w:sz w:val="22"/>
                <w:szCs w:val="28"/>
              </w:rPr>
              <w:t>e.g.</w:t>
            </w:r>
            <w:proofErr w:type="gramEnd"/>
            <w:r w:rsidRPr="009203ED">
              <w:rPr>
                <w:color w:val="auto"/>
                <w:sz w:val="22"/>
                <w:szCs w:val="28"/>
              </w:rPr>
              <w:t xml:space="preserve"> redeployment</w:t>
            </w:r>
          </w:p>
        </w:tc>
        <w:tc>
          <w:tcPr>
            <w:tcW w:w="3673" w:type="dxa"/>
          </w:tcPr>
          <w:p w14:paraId="5A2F0A12" w14:textId="77777777" w:rsidR="00040F60" w:rsidRPr="009203ED" w:rsidRDefault="00040F60" w:rsidP="00B80963">
            <w:pPr>
              <w:pStyle w:val="Tabletext"/>
              <w:rPr>
                <w:color w:val="auto"/>
                <w:sz w:val="22"/>
                <w:szCs w:val="28"/>
              </w:rPr>
            </w:pPr>
          </w:p>
        </w:tc>
      </w:tr>
      <w:tr w:rsidR="009203ED" w:rsidRPr="009203ED" w14:paraId="415F66A1" w14:textId="77777777" w:rsidTr="003A615C">
        <w:tc>
          <w:tcPr>
            <w:tcW w:w="5387" w:type="dxa"/>
          </w:tcPr>
          <w:p w14:paraId="3D951404" w14:textId="77777777" w:rsidR="00040F60" w:rsidRPr="009203ED" w:rsidRDefault="00040F60" w:rsidP="00B80963">
            <w:pPr>
              <w:pStyle w:val="Tabletext"/>
              <w:rPr>
                <w:color w:val="auto"/>
                <w:sz w:val="22"/>
                <w:szCs w:val="28"/>
              </w:rPr>
            </w:pPr>
            <w:proofErr w:type="gramStart"/>
            <w:r w:rsidRPr="009203ED">
              <w:rPr>
                <w:color w:val="auto"/>
                <w:sz w:val="22"/>
                <w:szCs w:val="28"/>
              </w:rPr>
              <w:t>e.g.</w:t>
            </w:r>
            <w:proofErr w:type="gramEnd"/>
            <w:r w:rsidRPr="009203ED">
              <w:rPr>
                <w:color w:val="auto"/>
                <w:sz w:val="22"/>
                <w:szCs w:val="28"/>
              </w:rPr>
              <w:t xml:space="preserve"> voluntary retirement</w:t>
            </w:r>
          </w:p>
        </w:tc>
        <w:tc>
          <w:tcPr>
            <w:tcW w:w="3673" w:type="dxa"/>
          </w:tcPr>
          <w:p w14:paraId="1B2DA6A9" w14:textId="77777777" w:rsidR="00040F60" w:rsidRPr="009203ED" w:rsidRDefault="00040F60" w:rsidP="00B80963">
            <w:pPr>
              <w:pStyle w:val="Tabletext"/>
              <w:rPr>
                <w:color w:val="auto"/>
                <w:sz w:val="22"/>
                <w:szCs w:val="28"/>
              </w:rPr>
            </w:pPr>
          </w:p>
        </w:tc>
      </w:tr>
      <w:tr w:rsidR="009203ED" w:rsidRPr="009203ED" w14:paraId="0CCB5C04" w14:textId="77777777" w:rsidTr="003A615C">
        <w:tc>
          <w:tcPr>
            <w:tcW w:w="5387" w:type="dxa"/>
          </w:tcPr>
          <w:p w14:paraId="03F1020A" w14:textId="77777777" w:rsidR="00040F60" w:rsidRPr="009203ED" w:rsidRDefault="00040F60" w:rsidP="00B80963">
            <w:pPr>
              <w:pStyle w:val="Tabletext"/>
              <w:rPr>
                <w:color w:val="auto"/>
                <w:sz w:val="22"/>
                <w:szCs w:val="28"/>
              </w:rPr>
            </w:pPr>
            <w:proofErr w:type="gramStart"/>
            <w:r w:rsidRPr="009203ED">
              <w:rPr>
                <w:color w:val="auto"/>
                <w:sz w:val="22"/>
                <w:szCs w:val="28"/>
              </w:rPr>
              <w:t>e.g.</w:t>
            </w:r>
            <w:proofErr w:type="gramEnd"/>
            <w:r w:rsidRPr="009203ED">
              <w:rPr>
                <w:color w:val="auto"/>
                <w:sz w:val="22"/>
                <w:szCs w:val="28"/>
              </w:rPr>
              <w:t xml:space="preserve"> job share</w:t>
            </w:r>
          </w:p>
        </w:tc>
        <w:tc>
          <w:tcPr>
            <w:tcW w:w="3673" w:type="dxa"/>
          </w:tcPr>
          <w:p w14:paraId="4FE7DB0D" w14:textId="77777777" w:rsidR="00040F60" w:rsidRPr="009203ED" w:rsidRDefault="00040F60" w:rsidP="00B80963">
            <w:pPr>
              <w:pStyle w:val="Tabletext"/>
              <w:rPr>
                <w:color w:val="auto"/>
                <w:sz w:val="22"/>
                <w:szCs w:val="28"/>
              </w:rPr>
            </w:pPr>
          </w:p>
        </w:tc>
      </w:tr>
      <w:tr w:rsidR="009203ED" w:rsidRPr="009203ED" w14:paraId="412866B4" w14:textId="77777777" w:rsidTr="003A615C">
        <w:tc>
          <w:tcPr>
            <w:tcW w:w="5387" w:type="dxa"/>
          </w:tcPr>
          <w:p w14:paraId="7095B435" w14:textId="77777777" w:rsidR="00040F60" w:rsidRPr="009203ED" w:rsidRDefault="00040F60" w:rsidP="00B80963">
            <w:pPr>
              <w:pStyle w:val="Tabletext"/>
              <w:rPr>
                <w:color w:val="auto"/>
                <w:sz w:val="22"/>
                <w:szCs w:val="28"/>
              </w:rPr>
            </w:pPr>
            <w:proofErr w:type="gramStart"/>
            <w:r w:rsidRPr="009203ED">
              <w:rPr>
                <w:color w:val="auto"/>
                <w:sz w:val="22"/>
                <w:szCs w:val="28"/>
              </w:rPr>
              <w:t>e.g.</w:t>
            </w:r>
            <w:proofErr w:type="gramEnd"/>
            <w:r w:rsidRPr="009203ED">
              <w:rPr>
                <w:color w:val="auto"/>
                <w:sz w:val="22"/>
                <w:szCs w:val="28"/>
              </w:rPr>
              <w:t xml:space="preserve"> productivity improvements</w:t>
            </w:r>
          </w:p>
        </w:tc>
        <w:tc>
          <w:tcPr>
            <w:tcW w:w="3673" w:type="dxa"/>
          </w:tcPr>
          <w:p w14:paraId="3A2F3C48" w14:textId="77777777" w:rsidR="00040F60" w:rsidRPr="009203ED" w:rsidRDefault="00040F60" w:rsidP="00B80963">
            <w:pPr>
              <w:pStyle w:val="Tabletext"/>
              <w:rPr>
                <w:color w:val="auto"/>
                <w:sz w:val="22"/>
                <w:szCs w:val="28"/>
              </w:rPr>
            </w:pPr>
          </w:p>
        </w:tc>
      </w:tr>
      <w:tr w:rsidR="009203ED" w:rsidRPr="009203ED" w14:paraId="5DACCA70" w14:textId="77777777" w:rsidTr="003A615C">
        <w:tc>
          <w:tcPr>
            <w:tcW w:w="5387" w:type="dxa"/>
          </w:tcPr>
          <w:p w14:paraId="45F8EB58" w14:textId="77777777" w:rsidR="00040F60" w:rsidRPr="009203ED" w:rsidRDefault="00040F60" w:rsidP="00B80963">
            <w:pPr>
              <w:pStyle w:val="Tabletext"/>
              <w:rPr>
                <w:color w:val="auto"/>
                <w:sz w:val="22"/>
                <w:szCs w:val="28"/>
              </w:rPr>
            </w:pPr>
            <w:proofErr w:type="gramStart"/>
            <w:r w:rsidRPr="009203ED">
              <w:rPr>
                <w:color w:val="auto"/>
                <w:sz w:val="22"/>
                <w:szCs w:val="28"/>
              </w:rPr>
              <w:t>e.g.</w:t>
            </w:r>
            <w:proofErr w:type="gramEnd"/>
            <w:r w:rsidRPr="009203ED">
              <w:rPr>
                <w:color w:val="auto"/>
                <w:sz w:val="22"/>
                <w:szCs w:val="28"/>
              </w:rPr>
              <w:t xml:space="preserve"> temporary layoff</w:t>
            </w:r>
          </w:p>
        </w:tc>
        <w:tc>
          <w:tcPr>
            <w:tcW w:w="3673" w:type="dxa"/>
          </w:tcPr>
          <w:p w14:paraId="796974A5" w14:textId="77777777" w:rsidR="00040F60" w:rsidRPr="009203ED" w:rsidRDefault="00040F60" w:rsidP="00B80963">
            <w:pPr>
              <w:pStyle w:val="Tabletext"/>
              <w:rPr>
                <w:color w:val="auto"/>
                <w:sz w:val="22"/>
                <w:szCs w:val="28"/>
              </w:rPr>
            </w:pPr>
          </w:p>
        </w:tc>
      </w:tr>
    </w:tbl>
    <w:p w14:paraId="48DF0520" w14:textId="77777777" w:rsidR="00040F60" w:rsidRDefault="00040F60" w:rsidP="00040F60">
      <w:pPr>
        <w:pStyle w:val="Tabletitle"/>
      </w:pPr>
    </w:p>
    <w:p w14:paraId="2ED47FAE" w14:textId="77777777" w:rsidR="00040F60" w:rsidRPr="004611C1" w:rsidRDefault="00040F60" w:rsidP="00040F60">
      <w:pPr>
        <w:pStyle w:val="Tabletext"/>
      </w:pPr>
    </w:p>
    <w:tbl>
      <w:tblPr>
        <w:tblStyle w:val="TableGrid"/>
        <w:tblW w:w="0" w:type="auto"/>
        <w:tblLook w:val="04A0" w:firstRow="1" w:lastRow="0" w:firstColumn="1" w:lastColumn="0" w:noHBand="0" w:noVBand="1"/>
      </w:tblPr>
      <w:tblGrid>
        <w:gridCol w:w="9060"/>
      </w:tblGrid>
      <w:tr w:rsidR="009203ED" w:rsidRPr="009203ED" w14:paraId="27B94BDC" w14:textId="77777777" w:rsidTr="009203ED">
        <w:tc>
          <w:tcPr>
            <w:tcW w:w="9060" w:type="dxa"/>
          </w:tcPr>
          <w:p w14:paraId="293314FF" w14:textId="77777777" w:rsidR="00040F60" w:rsidRPr="009203ED" w:rsidRDefault="00040F60" w:rsidP="00B80963">
            <w:pPr>
              <w:pStyle w:val="Tabletitle"/>
              <w:rPr>
                <w:b/>
                <w:bCs/>
                <w:color w:val="auto"/>
                <w:sz w:val="22"/>
                <w:szCs w:val="28"/>
              </w:rPr>
            </w:pPr>
            <w:r w:rsidRPr="009203ED">
              <w:rPr>
                <w:b/>
                <w:bCs/>
                <w:color w:val="auto"/>
                <w:sz w:val="22"/>
                <w:szCs w:val="28"/>
              </w:rPr>
              <w:t>Explanation for why redundancies have been chosen instead of alternatives</w:t>
            </w:r>
          </w:p>
        </w:tc>
      </w:tr>
      <w:tr w:rsidR="009203ED" w:rsidRPr="009203ED" w14:paraId="391A613D" w14:textId="77777777" w:rsidTr="009203ED">
        <w:tc>
          <w:tcPr>
            <w:tcW w:w="9060" w:type="dxa"/>
          </w:tcPr>
          <w:p w14:paraId="0AA00CDE" w14:textId="77777777" w:rsidR="00040F60" w:rsidRPr="009203ED" w:rsidRDefault="00040F60" w:rsidP="00B80963">
            <w:pPr>
              <w:rPr>
                <w:iCs/>
                <w:sz w:val="22"/>
                <w:szCs w:val="28"/>
              </w:rPr>
            </w:pPr>
          </w:p>
        </w:tc>
      </w:tr>
    </w:tbl>
    <w:p w14:paraId="44112AAA" w14:textId="77777777" w:rsidR="00040F60" w:rsidRDefault="00040F60" w:rsidP="00040F60">
      <w:pPr>
        <w:rPr>
          <w:iCs/>
        </w:rPr>
      </w:pPr>
    </w:p>
    <w:tbl>
      <w:tblPr>
        <w:tblStyle w:val="TableGrid"/>
        <w:tblW w:w="0" w:type="auto"/>
        <w:tblLook w:val="04A0" w:firstRow="1" w:lastRow="0" w:firstColumn="1" w:lastColumn="0" w:noHBand="0" w:noVBand="1"/>
      </w:tblPr>
      <w:tblGrid>
        <w:gridCol w:w="3402"/>
        <w:gridCol w:w="5658"/>
      </w:tblGrid>
      <w:tr w:rsidR="00611F73" w:rsidRPr="00611F73" w14:paraId="1CF4B3B6" w14:textId="77777777" w:rsidTr="00611F73">
        <w:trPr>
          <w:trHeight w:val="336"/>
        </w:trPr>
        <w:tc>
          <w:tcPr>
            <w:tcW w:w="9060" w:type="dxa"/>
            <w:gridSpan w:val="2"/>
          </w:tcPr>
          <w:p w14:paraId="619E9CDD" w14:textId="77777777" w:rsidR="00040F60" w:rsidRPr="00611F73" w:rsidRDefault="00040F60" w:rsidP="00B80963">
            <w:pPr>
              <w:pStyle w:val="Tabletitle"/>
              <w:rPr>
                <w:b/>
                <w:bCs/>
                <w:color w:val="auto"/>
                <w:sz w:val="22"/>
                <w:szCs w:val="28"/>
              </w:rPr>
            </w:pPr>
            <w:bookmarkStart w:id="1" w:name="_Hlk144289870"/>
            <w:r w:rsidRPr="00611F73">
              <w:rPr>
                <w:b/>
                <w:bCs/>
                <w:color w:val="auto"/>
                <w:sz w:val="22"/>
                <w:szCs w:val="28"/>
              </w:rPr>
              <w:t>Summary of key legal requirements</w:t>
            </w:r>
          </w:p>
        </w:tc>
      </w:tr>
      <w:tr w:rsidR="00611F73" w:rsidRPr="00611F73" w14:paraId="7B8E9A79" w14:textId="77777777" w:rsidTr="00611F73">
        <w:tc>
          <w:tcPr>
            <w:tcW w:w="3402" w:type="dxa"/>
          </w:tcPr>
          <w:p w14:paraId="729F1665" w14:textId="77777777" w:rsidR="00040F60" w:rsidRPr="00611F73" w:rsidRDefault="00040F60" w:rsidP="00B80963">
            <w:pPr>
              <w:pStyle w:val="Tabletext"/>
              <w:rPr>
                <w:color w:val="auto"/>
                <w:sz w:val="22"/>
                <w:szCs w:val="28"/>
              </w:rPr>
            </w:pPr>
            <w:r w:rsidRPr="00611F73">
              <w:rPr>
                <w:color w:val="auto"/>
                <w:sz w:val="22"/>
                <w:szCs w:val="28"/>
              </w:rPr>
              <w:t xml:space="preserve">Key law(s) governing retrenchment or collective dismissals </w:t>
            </w:r>
          </w:p>
        </w:tc>
        <w:tc>
          <w:tcPr>
            <w:tcW w:w="5658" w:type="dxa"/>
          </w:tcPr>
          <w:p w14:paraId="5C2B1341" w14:textId="77777777" w:rsidR="00040F60" w:rsidRPr="00611F73" w:rsidRDefault="00040F60" w:rsidP="00B80963">
            <w:pPr>
              <w:pStyle w:val="Tabletext"/>
              <w:rPr>
                <w:i/>
                <w:iCs/>
                <w:color w:val="auto"/>
                <w:sz w:val="22"/>
                <w:szCs w:val="28"/>
              </w:rPr>
            </w:pPr>
          </w:p>
        </w:tc>
      </w:tr>
      <w:tr w:rsidR="00611F73" w:rsidRPr="00611F73" w14:paraId="0DD97FB4" w14:textId="77777777" w:rsidTr="00611F73">
        <w:tc>
          <w:tcPr>
            <w:tcW w:w="3402" w:type="dxa"/>
          </w:tcPr>
          <w:p w14:paraId="28C90972" w14:textId="77777777" w:rsidR="00040F60" w:rsidRPr="00611F73" w:rsidRDefault="00040F60" w:rsidP="00B80963">
            <w:pPr>
              <w:pStyle w:val="Tabletext"/>
              <w:rPr>
                <w:color w:val="auto"/>
                <w:sz w:val="22"/>
                <w:szCs w:val="28"/>
              </w:rPr>
            </w:pPr>
            <w:r w:rsidRPr="00611F73">
              <w:rPr>
                <w:color w:val="auto"/>
                <w:sz w:val="22"/>
                <w:szCs w:val="28"/>
              </w:rPr>
              <w:t xml:space="preserve">Legal definition of retrenchment </w:t>
            </w:r>
          </w:p>
        </w:tc>
        <w:tc>
          <w:tcPr>
            <w:tcW w:w="5658" w:type="dxa"/>
          </w:tcPr>
          <w:p w14:paraId="437C2D0F" w14:textId="77777777" w:rsidR="00040F60" w:rsidRPr="00611F73" w:rsidRDefault="00040F60" w:rsidP="00B80963">
            <w:pPr>
              <w:pStyle w:val="Tabletext"/>
              <w:rPr>
                <w:color w:val="auto"/>
                <w:sz w:val="22"/>
                <w:szCs w:val="28"/>
              </w:rPr>
            </w:pPr>
          </w:p>
        </w:tc>
      </w:tr>
      <w:tr w:rsidR="00611F73" w:rsidRPr="00611F73" w14:paraId="76105B56" w14:textId="77777777" w:rsidTr="00611F73">
        <w:tc>
          <w:tcPr>
            <w:tcW w:w="3402" w:type="dxa"/>
          </w:tcPr>
          <w:p w14:paraId="6C04DB67" w14:textId="77777777" w:rsidR="00040F60" w:rsidRPr="00611F73" w:rsidRDefault="00040F60" w:rsidP="00B80963">
            <w:pPr>
              <w:pStyle w:val="Tabletext"/>
              <w:rPr>
                <w:color w:val="auto"/>
                <w:sz w:val="22"/>
                <w:szCs w:val="28"/>
              </w:rPr>
            </w:pPr>
            <w:r w:rsidRPr="00611F73">
              <w:rPr>
                <w:color w:val="auto"/>
                <w:sz w:val="22"/>
                <w:szCs w:val="28"/>
              </w:rPr>
              <w:t>Requirements relating to timing and notification (</w:t>
            </w:r>
            <w:proofErr w:type="gramStart"/>
            <w:r w:rsidRPr="00611F73">
              <w:rPr>
                <w:color w:val="auto"/>
                <w:sz w:val="22"/>
                <w:szCs w:val="28"/>
              </w:rPr>
              <w:t>e.g.</w:t>
            </w:r>
            <w:proofErr w:type="gramEnd"/>
            <w:r w:rsidRPr="00611F73">
              <w:rPr>
                <w:color w:val="auto"/>
                <w:sz w:val="22"/>
                <w:szCs w:val="28"/>
              </w:rPr>
              <w:t xml:space="preserve"> state authorities, worker’s organisations, investors)</w:t>
            </w:r>
          </w:p>
        </w:tc>
        <w:tc>
          <w:tcPr>
            <w:tcW w:w="5658" w:type="dxa"/>
          </w:tcPr>
          <w:p w14:paraId="1161F568" w14:textId="77777777" w:rsidR="00040F60" w:rsidRPr="00611F73" w:rsidRDefault="00040F60" w:rsidP="00B80963">
            <w:pPr>
              <w:pStyle w:val="Tabletext"/>
              <w:rPr>
                <w:color w:val="auto"/>
                <w:sz w:val="22"/>
                <w:szCs w:val="28"/>
              </w:rPr>
            </w:pPr>
          </w:p>
        </w:tc>
      </w:tr>
      <w:tr w:rsidR="00611F73" w:rsidRPr="00611F73" w14:paraId="1AE56CF0" w14:textId="77777777" w:rsidTr="00611F73">
        <w:tc>
          <w:tcPr>
            <w:tcW w:w="3402" w:type="dxa"/>
          </w:tcPr>
          <w:p w14:paraId="6C8CFA29" w14:textId="77777777" w:rsidR="00040F60" w:rsidRPr="00611F73" w:rsidRDefault="00040F60" w:rsidP="00B80963">
            <w:pPr>
              <w:pStyle w:val="Tabletext"/>
              <w:rPr>
                <w:color w:val="auto"/>
                <w:sz w:val="22"/>
                <w:szCs w:val="28"/>
              </w:rPr>
            </w:pPr>
            <w:r w:rsidRPr="00611F73">
              <w:rPr>
                <w:color w:val="auto"/>
                <w:sz w:val="22"/>
                <w:szCs w:val="28"/>
              </w:rPr>
              <w:t>Requirements relating to consultation (</w:t>
            </w:r>
            <w:proofErr w:type="gramStart"/>
            <w:r w:rsidRPr="00611F73">
              <w:rPr>
                <w:color w:val="auto"/>
                <w:sz w:val="22"/>
                <w:szCs w:val="28"/>
              </w:rPr>
              <w:t>e.g.</w:t>
            </w:r>
            <w:proofErr w:type="gramEnd"/>
            <w:r w:rsidRPr="00611F73">
              <w:rPr>
                <w:color w:val="auto"/>
                <w:sz w:val="22"/>
                <w:szCs w:val="28"/>
              </w:rPr>
              <w:t xml:space="preserve"> with state </w:t>
            </w:r>
            <w:r w:rsidRPr="00611F73">
              <w:rPr>
                <w:color w:val="auto"/>
                <w:sz w:val="22"/>
                <w:szCs w:val="28"/>
              </w:rPr>
              <w:lastRenderedPageBreak/>
              <w:t>authorities, workers’ organisations)</w:t>
            </w:r>
          </w:p>
        </w:tc>
        <w:tc>
          <w:tcPr>
            <w:tcW w:w="5658" w:type="dxa"/>
          </w:tcPr>
          <w:p w14:paraId="7765E3EA" w14:textId="77777777" w:rsidR="00040F60" w:rsidRPr="00611F73" w:rsidRDefault="00040F60" w:rsidP="00B80963">
            <w:pPr>
              <w:pStyle w:val="Tabletext"/>
              <w:rPr>
                <w:color w:val="auto"/>
                <w:sz w:val="22"/>
                <w:szCs w:val="28"/>
              </w:rPr>
            </w:pPr>
          </w:p>
        </w:tc>
      </w:tr>
      <w:tr w:rsidR="00611F73" w:rsidRPr="00611F73" w14:paraId="395974E4" w14:textId="77777777" w:rsidTr="00611F73">
        <w:tc>
          <w:tcPr>
            <w:tcW w:w="3402" w:type="dxa"/>
          </w:tcPr>
          <w:p w14:paraId="6E910070" w14:textId="77777777" w:rsidR="00040F60" w:rsidRPr="00611F73" w:rsidRDefault="00040F60" w:rsidP="00B80963">
            <w:pPr>
              <w:pStyle w:val="Tabletext"/>
              <w:rPr>
                <w:color w:val="auto"/>
                <w:sz w:val="22"/>
                <w:szCs w:val="28"/>
              </w:rPr>
            </w:pPr>
            <w:r w:rsidRPr="00611F73">
              <w:rPr>
                <w:color w:val="auto"/>
                <w:sz w:val="22"/>
                <w:szCs w:val="28"/>
              </w:rPr>
              <w:t xml:space="preserve">Requirements relating to redundancy selection criteria </w:t>
            </w:r>
          </w:p>
        </w:tc>
        <w:tc>
          <w:tcPr>
            <w:tcW w:w="5658" w:type="dxa"/>
          </w:tcPr>
          <w:p w14:paraId="4BCAACF1" w14:textId="77777777" w:rsidR="00040F60" w:rsidRPr="00611F73" w:rsidRDefault="00040F60" w:rsidP="00B80963">
            <w:pPr>
              <w:pStyle w:val="Tabletext"/>
              <w:rPr>
                <w:color w:val="auto"/>
                <w:sz w:val="22"/>
                <w:szCs w:val="28"/>
              </w:rPr>
            </w:pPr>
          </w:p>
        </w:tc>
      </w:tr>
      <w:tr w:rsidR="00611F73" w:rsidRPr="00611F73" w14:paraId="6474E09B" w14:textId="77777777" w:rsidTr="00611F73">
        <w:tc>
          <w:tcPr>
            <w:tcW w:w="3402" w:type="dxa"/>
          </w:tcPr>
          <w:p w14:paraId="37E6126A" w14:textId="77777777" w:rsidR="00040F60" w:rsidRPr="00611F73" w:rsidRDefault="00040F60" w:rsidP="00B80963">
            <w:pPr>
              <w:pStyle w:val="Tabletext"/>
              <w:rPr>
                <w:color w:val="auto"/>
                <w:sz w:val="22"/>
                <w:szCs w:val="28"/>
              </w:rPr>
            </w:pPr>
            <w:r w:rsidRPr="00611F73">
              <w:rPr>
                <w:color w:val="auto"/>
                <w:sz w:val="22"/>
                <w:szCs w:val="28"/>
              </w:rPr>
              <w:t>Requirements relating to severance payments and other benefits</w:t>
            </w:r>
          </w:p>
        </w:tc>
        <w:tc>
          <w:tcPr>
            <w:tcW w:w="5658" w:type="dxa"/>
          </w:tcPr>
          <w:p w14:paraId="105D4035" w14:textId="77777777" w:rsidR="00040F60" w:rsidRPr="00611F73" w:rsidRDefault="00040F60" w:rsidP="00B80963">
            <w:pPr>
              <w:pStyle w:val="Tabletext"/>
              <w:rPr>
                <w:color w:val="auto"/>
                <w:sz w:val="22"/>
                <w:szCs w:val="28"/>
              </w:rPr>
            </w:pPr>
          </w:p>
        </w:tc>
      </w:tr>
      <w:tr w:rsidR="00611F73" w:rsidRPr="00611F73" w14:paraId="33E39040" w14:textId="77777777" w:rsidTr="00611F73">
        <w:tc>
          <w:tcPr>
            <w:tcW w:w="3402" w:type="dxa"/>
          </w:tcPr>
          <w:p w14:paraId="72D992B7" w14:textId="77777777" w:rsidR="00040F60" w:rsidRPr="00611F73" w:rsidRDefault="00040F60" w:rsidP="00B80963">
            <w:pPr>
              <w:pStyle w:val="Tabletext"/>
              <w:rPr>
                <w:color w:val="auto"/>
                <w:sz w:val="22"/>
                <w:szCs w:val="28"/>
              </w:rPr>
            </w:pPr>
            <w:r w:rsidRPr="00611F73">
              <w:rPr>
                <w:color w:val="auto"/>
                <w:sz w:val="22"/>
                <w:szCs w:val="28"/>
              </w:rPr>
              <w:t xml:space="preserve">Other requirements </w:t>
            </w:r>
          </w:p>
        </w:tc>
        <w:tc>
          <w:tcPr>
            <w:tcW w:w="5658" w:type="dxa"/>
          </w:tcPr>
          <w:p w14:paraId="1FDE72B7" w14:textId="77777777" w:rsidR="00040F60" w:rsidRPr="00611F73" w:rsidRDefault="00040F60" w:rsidP="00B80963">
            <w:pPr>
              <w:pStyle w:val="Tabletext"/>
              <w:rPr>
                <w:color w:val="auto"/>
                <w:sz w:val="22"/>
                <w:szCs w:val="28"/>
              </w:rPr>
            </w:pPr>
          </w:p>
        </w:tc>
      </w:tr>
      <w:bookmarkEnd w:id="1"/>
    </w:tbl>
    <w:p w14:paraId="3C21C2D0" w14:textId="77777777" w:rsidR="00040F60" w:rsidRDefault="00040F60" w:rsidP="00040F60">
      <w:pPr>
        <w:rPr>
          <w:iCs/>
        </w:rPr>
      </w:pPr>
    </w:p>
    <w:tbl>
      <w:tblPr>
        <w:tblStyle w:val="TableGrid"/>
        <w:tblW w:w="0" w:type="auto"/>
        <w:tblLook w:val="04A0" w:firstRow="1" w:lastRow="0" w:firstColumn="1" w:lastColumn="0" w:noHBand="0" w:noVBand="1"/>
      </w:tblPr>
      <w:tblGrid>
        <w:gridCol w:w="1657"/>
        <w:gridCol w:w="1883"/>
        <w:gridCol w:w="1843"/>
        <w:gridCol w:w="1843"/>
        <w:gridCol w:w="1844"/>
      </w:tblGrid>
      <w:tr w:rsidR="00611F73" w:rsidRPr="00611F73" w14:paraId="635FA66A" w14:textId="77777777" w:rsidTr="00611F73">
        <w:trPr>
          <w:trHeight w:val="336"/>
        </w:trPr>
        <w:tc>
          <w:tcPr>
            <w:tcW w:w="9070" w:type="dxa"/>
            <w:gridSpan w:val="5"/>
          </w:tcPr>
          <w:p w14:paraId="763B7E0D" w14:textId="77777777" w:rsidR="00040F60" w:rsidRPr="00611F73" w:rsidRDefault="00040F60" w:rsidP="00B80963">
            <w:pPr>
              <w:pStyle w:val="Tabletitle"/>
              <w:rPr>
                <w:b/>
                <w:bCs/>
                <w:color w:val="auto"/>
                <w:sz w:val="22"/>
                <w:szCs w:val="28"/>
              </w:rPr>
            </w:pPr>
            <w:r w:rsidRPr="00611F73">
              <w:rPr>
                <w:b/>
                <w:bCs/>
                <w:color w:val="auto"/>
                <w:sz w:val="22"/>
                <w:szCs w:val="28"/>
              </w:rPr>
              <w:t xml:space="preserve">Consultation schedule </w:t>
            </w:r>
          </w:p>
        </w:tc>
      </w:tr>
      <w:tr w:rsidR="00611F73" w:rsidRPr="00611F73" w14:paraId="5488413D" w14:textId="77777777" w:rsidTr="00611F73">
        <w:tc>
          <w:tcPr>
            <w:tcW w:w="1657" w:type="dxa"/>
          </w:tcPr>
          <w:p w14:paraId="67802DB6" w14:textId="77777777" w:rsidR="00040F60" w:rsidRPr="00611F73" w:rsidRDefault="00040F60" w:rsidP="00B80963">
            <w:pPr>
              <w:pStyle w:val="Tabletitle"/>
              <w:rPr>
                <w:color w:val="auto"/>
                <w:sz w:val="22"/>
                <w:szCs w:val="28"/>
              </w:rPr>
            </w:pPr>
            <w:r w:rsidRPr="00611F73">
              <w:rPr>
                <w:color w:val="auto"/>
                <w:sz w:val="22"/>
                <w:szCs w:val="28"/>
              </w:rPr>
              <w:t xml:space="preserve">Who </w:t>
            </w:r>
          </w:p>
        </w:tc>
        <w:tc>
          <w:tcPr>
            <w:tcW w:w="1883" w:type="dxa"/>
          </w:tcPr>
          <w:p w14:paraId="3B668CF6" w14:textId="77777777" w:rsidR="00040F60" w:rsidRPr="00611F73" w:rsidRDefault="00040F60" w:rsidP="00B80963">
            <w:pPr>
              <w:pStyle w:val="Tabletitle"/>
              <w:rPr>
                <w:color w:val="auto"/>
                <w:sz w:val="22"/>
                <w:szCs w:val="28"/>
              </w:rPr>
            </w:pPr>
            <w:r w:rsidRPr="00611F73">
              <w:rPr>
                <w:color w:val="auto"/>
                <w:sz w:val="22"/>
                <w:szCs w:val="28"/>
              </w:rPr>
              <w:t>When</w:t>
            </w:r>
          </w:p>
        </w:tc>
        <w:tc>
          <w:tcPr>
            <w:tcW w:w="1843" w:type="dxa"/>
          </w:tcPr>
          <w:p w14:paraId="683A9E25" w14:textId="77777777" w:rsidR="00040F60" w:rsidRPr="00611F73" w:rsidRDefault="00040F60" w:rsidP="00B80963">
            <w:pPr>
              <w:pStyle w:val="Tabletitle"/>
              <w:rPr>
                <w:color w:val="auto"/>
                <w:sz w:val="22"/>
                <w:szCs w:val="28"/>
              </w:rPr>
            </w:pPr>
            <w:r w:rsidRPr="00611F73">
              <w:rPr>
                <w:color w:val="auto"/>
                <w:sz w:val="22"/>
                <w:szCs w:val="28"/>
              </w:rPr>
              <w:t>Attendees</w:t>
            </w:r>
          </w:p>
        </w:tc>
        <w:tc>
          <w:tcPr>
            <w:tcW w:w="1843" w:type="dxa"/>
          </w:tcPr>
          <w:p w14:paraId="2BD1D70C" w14:textId="77777777" w:rsidR="00040F60" w:rsidRPr="00611F73" w:rsidRDefault="00040F60" w:rsidP="00B80963">
            <w:pPr>
              <w:pStyle w:val="Tabletitle"/>
              <w:rPr>
                <w:color w:val="auto"/>
                <w:sz w:val="22"/>
                <w:szCs w:val="28"/>
              </w:rPr>
            </w:pPr>
            <w:r w:rsidRPr="00611F73">
              <w:rPr>
                <w:color w:val="auto"/>
                <w:sz w:val="22"/>
                <w:szCs w:val="28"/>
              </w:rPr>
              <w:t>Key agenda items, discussion topics</w:t>
            </w:r>
          </w:p>
        </w:tc>
        <w:tc>
          <w:tcPr>
            <w:tcW w:w="1844" w:type="dxa"/>
          </w:tcPr>
          <w:p w14:paraId="2C33A687" w14:textId="77777777" w:rsidR="00040F60" w:rsidRPr="00611F73" w:rsidRDefault="00040F60" w:rsidP="00B80963">
            <w:pPr>
              <w:pStyle w:val="Tabletitle"/>
              <w:rPr>
                <w:color w:val="auto"/>
                <w:sz w:val="22"/>
                <w:szCs w:val="28"/>
              </w:rPr>
            </w:pPr>
            <w:r w:rsidRPr="00611F73">
              <w:rPr>
                <w:color w:val="auto"/>
                <w:sz w:val="22"/>
                <w:szCs w:val="28"/>
              </w:rPr>
              <w:t>Key outcomes and action items</w:t>
            </w:r>
          </w:p>
        </w:tc>
      </w:tr>
      <w:tr w:rsidR="00611F73" w:rsidRPr="00611F73" w14:paraId="55814AF7" w14:textId="77777777" w:rsidTr="00611F73">
        <w:tc>
          <w:tcPr>
            <w:tcW w:w="1657" w:type="dxa"/>
          </w:tcPr>
          <w:p w14:paraId="0A3BA3D8" w14:textId="77777777" w:rsidR="00040F60" w:rsidRPr="00611F73" w:rsidRDefault="00040F60" w:rsidP="00B80963">
            <w:pPr>
              <w:pStyle w:val="Tabletext"/>
              <w:rPr>
                <w:color w:val="auto"/>
                <w:sz w:val="22"/>
                <w:szCs w:val="28"/>
              </w:rPr>
            </w:pPr>
          </w:p>
        </w:tc>
        <w:tc>
          <w:tcPr>
            <w:tcW w:w="1883" w:type="dxa"/>
          </w:tcPr>
          <w:p w14:paraId="2D09516A" w14:textId="77777777" w:rsidR="00040F60" w:rsidRPr="00611F73" w:rsidRDefault="00040F60" w:rsidP="00B80963">
            <w:pPr>
              <w:pStyle w:val="Tabletext"/>
              <w:rPr>
                <w:color w:val="auto"/>
                <w:sz w:val="22"/>
                <w:szCs w:val="28"/>
              </w:rPr>
            </w:pPr>
          </w:p>
        </w:tc>
        <w:tc>
          <w:tcPr>
            <w:tcW w:w="1843" w:type="dxa"/>
          </w:tcPr>
          <w:p w14:paraId="59850EF9" w14:textId="77777777" w:rsidR="00040F60" w:rsidRPr="00611F73" w:rsidRDefault="00040F60" w:rsidP="00B80963">
            <w:pPr>
              <w:pStyle w:val="Tabletext"/>
              <w:rPr>
                <w:i/>
                <w:iCs/>
                <w:color w:val="auto"/>
                <w:sz w:val="22"/>
                <w:szCs w:val="28"/>
              </w:rPr>
            </w:pPr>
          </w:p>
        </w:tc>
        <w:tc>
          <w:tcPr>
            <w:tcW w:w="1843" w:type="dxa"/>
          </w:tcPr>
          <w:p w14:paraId="609C3A86" w14:textId="77777777" w:rsidR="00040F60" w:rsidRPr="00611F73" w:rsidRDefault="00040F60" w:rsidP="00B80963">
            <w:pPr>
              <w:pStyle w:val="Tabletext"/>
              <w:rPr>
                <w:i/>
                <w:iCs/>
                <w:color w:val="auto"/>
                <w:sz w:val="22"/>
                <w:szCs w:val="28"/>
              </w:rPr>
            </w:pPr>
          </w:p>
        </w:tc>
        <w:tc>
          <w:tcPr>
            <w:tcW w:w="1844" w:type="dxa"/>
          </w:tcPr>
          <w:p w14:paraId="647E1F3D" w14:textId="77777777" w:rsidR="00040F60" w:rsidRPr="00611F73" w:rsidRDefault="00040F60" w:rsidP="00B80963">
            <w:pPr>
              <w:pStyle w:val="Tabletext"/>
              <w:rPr>
                <w:i/>
                <w:iCs/>
                <w:color w:val="auto"/>
                <w:sz w:val="22"/>
                <w:szCs w:val="28"/>
              </w:rPr>
            </w:pPr>
          </w:p>
        </w:tc>
      </w:tr>
      <w:tr w:rsidR="00611F73" w:rsidRPr="00611F73" w14:paraId="410A35CA" w14:textId="77777777" w:rsidTr="00611F73">
        <w:tc>
          <w:tcPr>
            <w:tcW w:w="1657" w:type="dxa"/>
          </w:tcPr>
          <w:p w14:paraId="5C25BD78" w14:textId="77777777" w:rsidR="00040F60" w:rsidRPr="00611F73" w:rsidRDefault="00040F60" w:rsidP="00B80963">
            <w:pPr>
              <w:pStyle w:val="Tabletext"/>
              <w:rPr>
                <w:color w:val="auto"/>
                <w:sz w:val="22"/>
                <w:szCs w:val="28"/>
              </w:rPr>
            </w:pPr>
          </w:p>
        </w:tc>
        <w:tc>
          <w:tcPr>
            <w:tcW w:w="1883" w:type="dxa"/>
          </w:tcPr>
          <w:p w14:paraId="2EE29955" w14:textId="77777777" w:rsidR="00040F60" w:rsidRPr="00611F73" w:rsidRDefault="00040F60" w:rsidP="00B80963">
            <w:pPr>
              <w:pStyle w:val="Tabletext"/>
              <w:rPr>
                <w:color w:val="auto"/>
                <w:sz w:val="22"/>
                <w:szCs w:val="28"/>
              </w:rPr>
            </w:pPr>
          </w:p>
        </w:tc>
        <w:tc>
          <w:tcPr>
            <w:tcW w:w="1843" w:type="dxa"/>
          </w:tcPr>
          <w:p w14:paraId="46212B91" w14:textId="77777777" w:rsidR="00040F60" w:rsidRPr="00611F73" w:rsidRDefault="00040F60" w:rsidP="00B80963">
            <w:pPr>
              <w:pStyle w:val="Tabletext"/>
              <w:rPr>
                <w:color w:val="auto"/>
                <w:sz w:val="22"/>
                <w:szCs w:val="28"/>
              </w:rPr>
            </w:pPr>
          </w:p>
        </w:tc>
        <w:tc>
          <w:tcPr>
            <w:tcW w:w="1843" w:type="dxa"/>
          </w:tcPr>
          <w:p w14:paraId="019143C7" w14:textId="77777777" w:rsidR="00040F60" w:rsidRPr="00611F73" w:rsidRDefault="00040F60" w:rsidP="00B80963">
            <w:pPr>
              <w:pStyle w:val="Tabletext"/>
              <w:rPr>
                <w:color w:val="auto"/>
                <w:sz w:val="22"/>
                <w:szCs w:val="28"/>
              </w:rPr>
            </w:pPr>
          </w:p>
        </w:tc>
        <w:tc>
          <w:tcPr>
            <w:tcW w:w="1844" w:type="dxa"/>
          </w:tcPr>
          <w:p w14:paraId="3CE1E490" w14:textId="77777777" w:rsidR="00040F60" w:rsidRPr="00611F73" w:rsidRDefault="00040F60" w:rsidP="00B80963">
            <w:pPr>
              <w:pStyle w:val="Tabletext"/>
              <w:rPr>
                <w:color w:val="auto"/>
                <w:sz w:val="22"/>
                <w:szCs w:val="28"/>
              </w:rPr>
            </w:pPr>
          </w:p>
        </w:tc>
      </w:tr>
      <w:tr w:rsidR="00611F73" w:rsidRPr="00611F73" w14:paraId="3E945141" w14:textId="77777777" w:rsidTr="00611F73">
        <w:tc>
          <w:tcPr>
            <w:tcW w:w="1657" w:type="dxa"/>
          </w:tcPr>
          <w:p w14:paraId="3FBE64A5" w14:textId="77777777" w:rsidR="00040F60" w:rsidRPr="00611F73" w:rsidRDefault="00040F60" w:rsidP="00B80963">
            <w:pPr>
              <w:pStyle w:val="Tabletext"/>
              <w:rPr>
                <w:color w:val="auto"/>
                <w:sz w:val="22"/>
                <w:szCs w:val="28"/>
              </w:rPr>
            </w:pPr>
          </w:p>
        </w:tc>
        <w:tc>
          <w:tcPr>
            <w:tcW w:w="1883" w:type="dxa"/>
          </w:tcPr>
          <w:p w14:paraId="0627D4C1" w14:textId="77777777" w:rsidR="00040F60" w:rsidRPr="00611F73" w:rsidRDefault="00040F60" w:rsidP="00B80963">
            <w:pPr>
              <w:pStyle w:val="Tabletext"/>
              <w:rPr>
                <w:color w:val="auto"/>
                <w:sz w:val="22"/>
                <w:szCs w:val="28"/>
              </w:rPr>
            </w:pPr>
          </w:p>
        </w:tc>
        <w:tc>
          <w:tcPr>
            <w:tcW w:w="1843" w:type="dxa"/>
          </w:tcPr>
          <w:p w14:paraId="4119962D" w14:textId="77777777" w:rsidR="00040F60" w:rsidRPr="00611F73" w:rsidRDefault="00040F60" w:rsidP="00B80963">
            <w:pPr>
              <w:pStyle w:val="Tabletext"/>
              <w:rPr>
                <w:color w:val="auto"/>
                <w:sz w:val="22"/>
                <w:szCs w:val="28"/>
              </w:rPr>
            </w:pPr>
          </w:p>
        </w:tc>
        <w:tc>
          <w:tcPr>
            <w:tcW w:w="1843" w:type="dxa"/>
          </w:tcPr>
          <w:p w14:paraId="0DA320AE" w14:textId="77777777" w:rsidR="00040F60" w:rsidRPr="00611F73" w:rsidRDefault="00040F60" w:rsidP="00B80963">
            <w:pPr>
              <w:pStyle w:val="Tabletext"/>
              <w:rPr>
                <w:color w:val="auto"/>
                <w:sz w:val="22"/>
                <w:szCs w:val="28"/>
              </w:rPr>
            </w:pPr>
          </w:p>
        </w:tc>
        <w:tc>
          <w:tcPr>
            <w:tcW w:w="1844" w:type="dxa"/>
          </w:tcPr>
          <w:p w14:paraId="46296F01" w14:textId="77777777" w:rsidR="00040F60" w:rsidRPr="00611F73" w:rsidRDefault="00040F60" w:rsidP="00B80963">
            <w:pPr>
              <w:pStyle w:val="Tabletext"/>
              <w:rPr>
                <w:color w:val="auto"/>
                <w:sz w:val="22"/>
                <w:szCs w:val="28"/>
              </w:rPr>
            </w:pPr>
          </w:p>
        </w:tc>
      </w:tr>
    </w:tbl>
    <w:p w14:paraId="5AFE06EC" w14:textId="77777777" w:rsidR="00040F60" w:rsidRDefault="00040F60" w:rsidP="00040F60">
      <w:pPr>
        <w:rPr>
          <w:iCs/>
        </w:rPr>
      </w:pPr>
    </w:p>
    <w:tbl>
      <w:tblPr>
        <w:tblStyle w:val="TableGrid"/>
        <w:tblW w:w="0" w:type="auto"/>
        <w:tblLook w:val="04A0" w:firstRow="1" w:lastRow="0" w:firstColumn="1" w:lastColumn="0" w:noHBand="0" w:noVBand="1"/>
      </w:tblPr>
      <w:tblGrid>
        <w:gridCol w:w="9070"/>
      </w:tblGrid>
      <w:tr w:rsidR="00611F73" w:rsidRPr="00611F73" w14:paraId="1E2F5659" w14:textId="77777777" w:rsidTr="00611F73">
        <w:trPr>
          <w:trHeight w:val="336"/>
        </w:trPr>
        <w:tc>
          <w:tcPr>
            <w:tcW w:w="9070" w:type="dxa"/>
          </w:tcPr>
          <w:p w14:paraId="5E5C838B" w14:textId="77777777" w:rsidR="00040F60" w:rsidRPr="00611F73" w:rsidRDefault="00040F60" w:rsidP="00B80963">
            <w:pPr>
              <w:pStyle w:val="Tabletitle"/>
              <w:rPr>
                <w:b/>
                <w:bCs/>
                <w:color w:val="auto"/>
                <w:sz w:val="22"/>
                <w:szCs w:val="28"/>
              </w:rPr>
            </w:pPr>
            <w:r w:rsidRPr="00611F73">
              <w:rPr>
                <w:b/>
                <w:bCs/>
                <w:color w:val="auto"/>
                <w:sz w:val="22"/>
                <w:szCs w:val="28"/>
              </w:rPr>
              <w:t xml:space="preserve">Selection mechanism and criteria for dismissal </w:t>
            </w:r>
          </w:p>
        </w:tc>
      </w:tr>
      <w:tr w:rsidR="00611F73" w:rsidRPr="00611F73" w14:paraId="46A990C9" w14:textId="77777777" w:rsidTr="00611F73">
        <w:trPr>
          <w:trHeight w:val="21"/>
        </w:trPr>
        <w:tc>
          <w:tcPr>
            <w:tcW w:w="9070" w:type="dxa"/>
          </w:tcPr>
          <w:p w14:paraId="1910488F" w14:textId="77777777" w:rsidR="00040F60" w:rsidRPr="00611F73" w:rsidRDefault="00040F60" w:rsidP="00B80963">
            <w:pPr>
              <w:pStyle w:val="Tabletext"/>
              <w:rPr>
                <w:i/>
                <w:iCs/>
                <w:color w:val="auto"/>
                <w:sz w:val="22"/>
                <w:szCs w:val="28"/>
              </w:rPr>
            </w:pPr>
            <w:r w:rsidRPr="00611F73">
              <w:rPr>
                <w:i/>
                <w:iCs/>
                <w:color w:val="auto"/>
                <w:sz w:val="22"/>
                <w:szCs w:val="28"/>
              </w:rPr>
              <w:t>Summary of criteria for selecting workers for redundancy. In all cases, selection criteria should not be discriminatory as required by relevant national laws and investor standards (</w:t>
            </w:r>
            <w:proofErr w:type="gramStart"/>
            <w:r w:rsidRPr="00611F73">
              <w:rPr>
                <w:i/>
                <w:iCs/>
                <w:color w:val="auto"/>
                <w:sz w:val="22"/>
                <w:szCs w:val="28"/>
              </w:rPr>
              <w:t>e.g.</w:t>
            </w:r>
            <w:proofErr w:type="gramEnd"/>
            <w:r w:rsidRPr="00611F73">
              <w:rPr>
                <w:i/>
                <w:iCs/>
                <w:color w:val="auto"/>
                <w:sz w:val="22"/>
                <w:szCs w:val="28"/>
              </w:rPr>
              <w:t xml:space="preserve"> on the basis of ethnicity, disability, gender). Fair and objective criteria should be used, such as length of service, performance record, disciplinary record, absence record, skills, and knowledge. </w:t>
            </w:r>
          </w:p>
          <w:p w14:paraId="20BC6094" w14:textId="77777777" w:rsidR="00040F60" w:rsidRPr="00611F73" w:rsidRDefault="00040F60" w:rsidP="00B80963">
            <w:pPr>
              <w:pStyle w:val="Tabletext"/>
              <w:rPr>
                <w:i/>
                <w:iCs/>
                <w:color w:val="auto"/>
                <w:sz w:val="22"/>
                <w:szCs w:val="28"/>
              </w:rPr>
            </w:pPr>
          </w:p>
          <w:p w14:paraId="75D1E44E" w14:textId="77777777" w:rsidR="00040F60" w:rsidRPr="00611F73" w:rsidRDefault="00040F60" w:rsidP="00B80963">
            <w:pPr>
              <w:pStyle w:val="Tabletext"/>
              <w:rPr>
                <w:i/>
                <w:iCs/>
                <w:color w:val="auto"/>
                <w:sz w:val="22"/>
                <w:szCs w:val="28"/>
              </w:rPr>
            </w:pPr>
            <w:r w:rsidRPr="00611F73">
              <w:rPr>
                <w:i/>
                <w:iCs/>
                <w:color w:val="auto"/>
                <w:sz w:val="22"/>
                <w:szCs w:val="28"/>
              </w:rPr>
              <w:t>For further guidance, see: IFC, Good Practice Note: Managing Retrenchment (2005): &lt;https://www.ifc.org/en/insights-reports/2000/publications-gpn-retrenchment&gt;</w:t>
            </w:r>
          </w:p>
          <w:p w14:paraId="37E0D073" w14:textId="77777777" w:rsidR="00040F60" w:rsidRPr="00611F73" w:rsidRDefault="00040F60" w:rsidP="00B80963">
            <w:pPr>
              <w:pStyle w:val="Tabletext"/>
              <w:rPr>
                <w:i/>
                <w:iCs/>
                <w:color w:val="auto"/>
                <w:sz w:val="22"/>
                <w:szCs w:val="28"/>
              </w:rPr>
            </w:pPr>
          </w:p>
        </w:tc>
      </w:tr>
    </w:tbl>
    <w:p w14:paraId="72245405" w14:textId="77777777" w:rsidR="00040F60" w:rsidRDefault="00040F60" w:rsidP="00040F60">
      <w:pPr>
        <w:rPr>
          <w:iCs/>
        </w:rPr>
      </w:pPr>
    </w:p>
    <w:tbl>
      <w:tblPr>
        <w:tblStyle w:val="TableGrid"/>
        <w:tblW w:w="0" w:type="auto"/>
        <w:tblLook w:val="04A0" w:firstRow="1" w:lastRow="0" w:firstColumn="1" w:lastColumn="0" w:noHBand="0" w:noVBand="1"/>
      </w:tblPr>
      <w:tblGrid>
        <w:gridCol w:w="9060"/>
      </w:tblGrid>
      <w:tr w:rsidR="00611F73" w:rsidRPr="00611F73" w14:paraId="153BCF65" w14:textId="77777777" w:rsidTr="00611F73">
        <w:tc>
          <w:tcPr>
            <w:tcW w:w="9060" w:type="dxa"/>
          </w:tcPr>
          <w:p w14:paraId="76B83E52" w14:textId="77777777" w:rsidR="00040F60" w:rsidRPr="00611F73" w:rsidRDefault="00040F60" w:rsidP="00B80963">
            <w:pPr>
              <w:pStyle w:val="Tabletitle"/>
              <w:rPr>
                <w:b/>
                <w:bCs/>
                <w:color w:val="auto"/>
                <w:sz w:val="22"/>
                <w:szCs w:val="28"/>
              </w:rPr>
            </w:pPr>
            <w:r w:rsidRPr="00611F73">
              <w:rPr>
                <w:b/>
                <w:bCs/>
                <w:color w:val="auto"/>
                <w:sz w:val="22"/>
                <w:szCs w:val="28"/>
              </w:rPr>
              <w:t>Anticipated impact on staff made redundant</w:t>
            </w:r>
          </w:p>
        </w:tc>
      </w:tr>
      <w:tr w:rsidR="00611F73" w:rsidRPr="00611F73" w14:paraId="05BA35B3" w14:textId="77777777" w:rsidTr="00611F73">
        <w:tc>
          <w:tcPr>
            <w:tcW w:w="9060" w:type="dxa"/>
          </w:tcPr>
          <w:p w14:paraId="3290160E" w14:textId="77777777" w:rsidR="00040F60" w:rsidRPr="00611F73" w:rsidRDefault="00040F60" w:rsidP="00B80963">
            <w:pPr>
              <w:pStyle w:val="Tabletext"/>
              <w:rPr>
                <w:i/>
                <w:iCs/>
                <w:color w:val="auto"/>
                <w:sz w:val="22"/>
                <w:szCs w:val="28"/>
              </w:rPr>
            </w:pPr>
            <w:r w:rsidRPr="00611F73">
              <w:rPr>
                <w:i/>
                <w:iCs/>
                <w:color w:val="auto"/>
                <w:sz w:val="22"/>
                <w:szCs w:val="28"/>
              </w:rPr>
              <w:t>Summary of prospects for redundant staff, including:</w:t>
            </w:r>
          </w:p>
          <w:p w14:paraId="5CAAF20C" w14:textId="77777777" w:rsidR="00040F60" w:rsidRPr="00611F73" w:rsidRDefault="00040F60" w:rsidP="00B80963">
            <w:pPr>
              <w:pStyle w:val="Tabletext"/>
              <w:rPr>
                <w:i/>
                <w:iCs/>
                <w:color w:val="auto"/>
                <w:sz w:val="22"/>
                <w:szCs w:val="28"/>
              </w:rPr>
            </w:pPr>
          </w:p>
          <w:p w14:paraId="2514A3D5" w14:textId="77777777" w:rsidR="00040F60" w:rsidRPr="00611F73" w:rsidRDefault="00040F60" w:rsidP="00040F60">
            <w:pPr>
              <w:pStyle w:val="Tabletext"/>
              <w:numPr>
                <w:ilvl w:val="0"/>
                <w:numId w:val="29"/>
              </w:numPr>
              <w:rPr>
                <w:i/>
                <w:iCs/>
                <w:color w:val="auto"/>
                <w:sz w:val="22"/>
                <w:szCs w:val="28"/>
              </w:rPr>
            </w:pPr>
            <w:r w:rsidRPr="00611F73">
              <w:rPr>
                <w:i/>
                <w:iCs/>
                <w:color w:val="auto"/>
                <w:sz w:val="22"/>
                <w:szCs w:val="28"/>
              </w:rPr>
              <w:t>Ease of identifying and accessing new job opportunities</w:t>
            </w:r>
          </w:p>
          <w:p w14:paraId="23DDE451" w14:textId="77777777" w:rsidR="00040F60" w:rsidRPr="00611F73" w:rsidRDefault="00040F60" w:rsidP="00040F60">
            <w:pPr>
              <w:pStyle w:val="Tabletext"/>
              <w:numPr>
                <w:ilvl w:val="0"/>
                <w:numId w:val="29"/>
              </w:numPr>
              <w:rPr>
                <w:i/>
                <w:iCs/>
                <w:color w:val="auto"/>
                <w:sz w:val="22"/>
                <w:szCs w:val="28"/>
              </w:rPr>
            </w:pPr>
            <w:r w:rsidRPr="00611F73">
              <w:rPr>
                <w:i/>
                <w:iCs/>
                <w:color w:val="auto"/>
                <w:sz w:val="22"/>
                <w:szCs w:val="28"/>
              </w:rPr>
              <w:t>Eligibility for unemployment or other benefits</w:t>
            </w:r>
          </w:p>
          <w:p w14:paraId="128CCB46" w14:textId="77777777" w:rsidR="00040F60" w:rsidRPr="00611F73" w:rsidRDefault="00040F60" w:rsidP="00040F60">
            <w:pPr>
              <w:pStyle w:val="Tabletext"/>
              <w:numPr>
                <w:ilvl w:val="0"/>
                <w:numId w:val="29"/>
              </w:numPr>
              <w:rPr>
                <w:i/>
                <w:iCs/>
                <w:color w:val="auto"/>
                <w:sz w:val="22"/>
                <w:szCs w:val="28"/>
              </w:rPr>
            </w:pPr>
            <w:r w:rsidRPr="00611F73">
              <w:rPr>
                <w:i/>
                <w:iCs/>
                <w:color w:val="auto"/>
                <w:sz w:val="22"/>
                <w:szCs w:val="28"/>
              </w:rPr>
              <w:t xml:space="preserve">Availability of (re) training, job assistance, or other measures </w:t>
            </w:r>
          </w:p>
          <w:p w14:paraId="599D61B5" w14:textId="77777777" w:rsidR="00040F60" w:rsidRPr="00611F73" w:rsidRDefault="00040F60" w:rsidP="00B80963">
            <w:pPr>
              <w:pStyle w:val="Tabletext"/>
              <w:rPr>
                <w:color w:val="auto"/>
                <w:sz w:val="22"/>
                <w:szCs w:val="28"/>
              </w:rPr>
            </w:pPr>
          </w:p>
        </w:tc>
      </w:tr>
    </w:tbl>
    <w:p w14:paraId="53AAB871" w14:textId="77777777" w:rsidR="00040F60" w:rsidRDefault="00040F60" w:rsidP="00040F60">
      <w:pPr>
        <w:rPr>
          <w:iCs/>
        </w:rPr>
      </w:pPr>
    </w:p>
    <w:tbl>
      <w:tblPr>
        <w:tblStyle w:val="TableGrid"/>
        <w:tblW w:w="0" w:type="auto"/>
        <w:tblLook w:val="04A0" w:firstRow="1" w:lastRow="0" w:firstColumn="1" w:lastColumn="0" w:noHBand="0" w:noVBand="1"/>
      </w:tblPr>
      <w:tblGrid>
        <w:gridCol w:w="9060"/>
      </w:tblGrid>
      <w:tr w:rsidR="00611F73" w:rsidRPr="00611F73" w14:paraId="652B4A22" w14:textId="77777777" w:rsidTr="00611F73">
        <w:tc>
          <w:tcPr>
            <w:tcW w:w="9060" w:type="dxa"/>
          </w:tcPr>
          <w:p w14:paraId="5772AB87" w14:textId="77777777" w:rsidR="00040F60" w:rsidRPr="00611F73" w:rsidRDefault="00040F60" w:rsidP="00B80963">
            <w:pPr>
              <w:pStyle w:val="Tabletitle"/>
              <w:rPr>
                <w:b/>
                <w:bCs/>
                <w:color w:val="auto"/>
                <w:sz w:val="22"/>
                <w:szCs w:val="28"/>
              </w:rPr>
            </w:pPr>
            <w:r w:rsidRPr="00611F73">
              <w:rPr>
                <w:b/>
                <w:bCs/>
                <w:color w:val="auto"/>
                <w:sz w:val="22"/>
                <w:szCs w:val="28"/>
              </w:rPr>
              <w:t>Support measures for redundant staff</w:t>
            </w:r>
          </w:p>
        </w:tc>
      </w:tr>
      <w:tr w:rsidR="00611F73" w:rsidRPr="00611F73" w14:paraId="685374CC" w14:textId="77777777" w:rsidTr="00611F73">
        <w:tc>
          <w:tcPr>
            <w:tcW w:w="9060" w:type="dxa"/>
          </w:tcPr>
          <w:p w14:paraId="395CFCD9" w14:textId="2E6928A7" w:rsidR="00040F60" w:rsidRPr="00611F73" w:rsidRDefault="00040F60" w:rsidP="00B80963">
            <w:pPr>
              <w:pStyle w:val="Tabletext"/>
              <w:rPr>
                <w:color w:val="auto"/>
                <w:sz w:val="22"/>
                <w:szCs w:val="28"/>
              </w:rPr>
            </w:pPr>
            <w:r w:rsidRPr="00611F73">
              <w:rPr>
                <w:i/>
                <w:iCs/>
                <w:color w:val="auto"/>
                <w:sz w:val="22"/>
                <w:szCs w:val="28"/>
              </w:rPr>
              <w:t xml:space="preserve">Based on anticipated impact on staff, summary of appropriate support measures, </w:t>
            </w:r>
            <w:proofErr w:type="gramStart"/>
            <w:r w:rsidRPr="00611F73">
              <w:rPr>
                <w:i/>
                <w:iCs/>
                <w:color w:val="auto"/>
                <w:sz w:val="22"/>
                <w:szCs w:val="28"/>
              </w:rPr>
              <w:t>e.g.</w:t>
            </w:r>
            <w:proofErr w:type="gramEnd"/>
            <w:r w:rsidRPr="00611F73">
              <w:rPr>
                <w:i/>
                <w:iCs/>
                <w:color w:val="auto"/>
                <w:sz w:val="22"/>
                <w:szCs w:val="28"/>
              </w:rPr>
              <w:t xml:space="preserve"> retraining, outplacement, job assistance, counselling, training opportunities </w:t>
            </w:r>
          </w:p>
          <w:p w14:paraId="3F5CDB3C" w14:textId="77777777" w:rsidR="00040F60" w:rsidRPr="00611F73" w:rsidRDefault="00040F60" w:rsidP="00B80963">
            <w:pPr>
              <w:pStyle w:val="Tabletext"/>
              <w:rPr>
                <w:color w:val="auto"/>
                <w:sz w:val="22"/>
                <w:szCs w:val="28"/>
              </w:rPr>
            </w:pPr>
          </w:p>
        </w:tc>
      </w:tr>
    </w:tbl>
    <w:p w14:paraId="64B49471" w14:textId="77777777" w:rsidR="00040F60" w:rsidRDefault="00040F60" w:rsidP="00040F60">
      <w:pPr>
        <w:rPr>
          <w:iCs/>
        </w:rPr>
      </w:pPr>
    </w:p>
    <w:tbl>
      <w:tblPr>
        <w:tblStyle w:val="TableGrid"/>
        <w:tblW w:w="0" w:type="auto"/>
        <w:tblLook w:val="04A0" w:firstRow="1" w:lastRow="0" w:firstColumn="1" w:lastColumn="0" w:noHBand="0" w:noVBand="1"/>
      </w:tblPr>
      <w:tblGrid>
        <w:gridCol w:w="9060"/>
      </w:tblGrid>
      <w:tr w:rsidR="00611F73" w:rsidRPr="00611F73" w14:paraId="33ADCB1C" w14:textId="77777777" w:rsidTr="00611F73">
        <w:tc>
          <w:tcPr>
            <w:tcW w:w="9060" w:type="dxa"/>
          </w:tcPr>
          <w:p w14:paraId="7EAFA730" w14:textId="77777777" w:rsidR="00040F60" w:rsidRPr="00611F73" w:rsidRDefault="00040F60" w:rsidP="00B80963">
            <w:pPr>
              <w:pStyle w:val="Tabletitle"/>
              <w:rPr>
                <w:b/>
                <w:bCs/>
                <w:color w:val="auto"/>
                <w:sz w:val="22"/>
              </w:rPr>
            </w:pPr>
            <w:r w:rsidRPr="00611F73">
              <w:rPr>
                <w:b/>
                <w:bCs/>
                <w:color w:val="auto"/>
                <w:sz w:val="22"/>
              </w:rPr>
              <w:t>Cost of redundancy</w:t>
            </w:r>
          </w:p>
        </w:tc>
      </w:tr>
      <w:tr w:rsidR="00611F73" w:rsidRPr="00611F73" w14:paraId="57F95818" w14:textId="77777777" w:rsidTr="00611F73">
        <w:tc>
          <w:tcPr>
            <w:tcW w:w="9060" w:type="dxa"/>
          </w:tcPr>
          <w:p w14:paraId="2D55AF97" w14:textId="77777777" w:rsidR="00040F60" w:rsidRPr="00611F73" w:rsidRDefault="00040F60" w:rsidP="00B80963">
            <w:pPr>
              <w:pStyle w:val="Tabletext"/>
              <w:rPr>
                <w:i/>
                <w:color w:val="auto"/>
                <w:sz w:val="22"/>
              </w:rPr>
            </w:pPr>
            <w:proofErr w:type="gramStart"/>
            <w:r w:rsidRPr="00611F73">
              <w:rPr>
                <w:i/>
                <w:color w:val="auto"/>
                <w:sz w:val="22"/>
              </w:rPr>
              <w:t>E.g.</w:t>
            </w:r>
            <w:proofErr w:type="gramEnd"/>
            <w:r w:rsidRPr="00611F73">
              <w:rPr>
                <w:i/>
                <w:color w:val="auto"/>
                <w:sz w:val="22"/>
              </w:rPr>
              <w:t xml:space="preserve"> cost of severance payments and other statutory entitlements, pension / medical obligations, support measures, voluntary redundancy packages, stock or other options</w:t>
            </w:r>
          </w:p>
          <w:p w14:paraId="4B3DF318" w14:textId="77777777" w:rsidR="00040F60" w:rsidRPr="00611F73" w:rsidRDefault="00040F60" w:rsidP="00B80963">
            <w:pPr>
              <w:pStyle w:val="Tabletext"/>
              <w:rPr>
                <w:color w:val="auto"/>
                <w:sz w:val="22"/>
              </w:rPr>
            </w:pPr>
          </w:p>
          <w:p w14:paraId="22A3C540" w14:textId="77777777" w:rsidR="00040F60" w:rsidRPr="00611F73" w:rsidRDefault="00040F60" w:rsidP="00B80963">
            <w:pPr>
              <w:pStyle w:val="Tabletext"/>
              <w:rPr>
                <w:color w:val="auto"/>
                <w:sz w:val="22"/>
              </w:rPr>
            </w:pPr>
          </w:p>
          <w:p w14:paraId="7FD2E071" w14:textId="77777777" w:rsidR="00040F60" w:rsidRPr="00611F73" w:rsidRDefault="00040F60" w:rsidP="00B80963">
            <w:pPr>
              <w:pStyle w:val="Tabletext"/>
              <w:rPr>
                <w:color w:val="auto"/>
                <w:sz w:val="22"/>
              </w:rPr>
            </w:pPr>
          </w:p>
        </w:tc>
      </w:tr>
    </w:tbl>
    <w:p w14:paraId="13B5731A" w14:textId="77777777" w:rsidR="00040F60" w:rsidRPr="00611F73" w:rsidRDefault="00040F60" w:rsidP="00040F60">
      <w:pPr>
        <w:rPr>
          <w:iCs/>
          <w:sz w:val="22"/>
          <w:szCs w:val="22"/>
        </w:rPr>
      </w:pPr>
    </w:p>
    <w:sectPr w:rsidR="00040F60" w:rsidRPr="00611F73" w:rsidSect="00B12B89">
      <w:headerReference w:type="default" r:id="rId11"/>
      <w:footerReference w:type="default" r:id="rId12"/>
      <w:headerReference w:type="first" r:id="rId13"/>
      <w:footerReference w:type="first" r:id="rId14"/>
      <w:pgSz w:w="11906" w:h="16838"/>
      <w:pgMar w:top="1560" w:right="907" w:bottom="1702" w:left="907" w:header="567" w:footer="2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3B9A" w14:textId="77777777" w:rsidR="00A12EEF" w:rsidRDefault="00A12EEF">
      <w:pPr>
        <w:spacing w:after="384"/>
      </w:pPr>
      <w:r>
        <w:separator/>
      </w:r>
    </w:p>
  </w:endnote>
  <w:endnote w:type="continuationSeparator" w:id="0">
    <w:p w14:paraId="2059182F" w14:textId="77777777" w:rsidR="00A12EEF" w:rsidRDefault="00A12EEF">
      <w:pPr>
        <w:spacing w:after="384"/>
      </w:pPr>
      <w:r>
        <w:continuationSeparator/>
      </w:r>
    </w:p>
  </w:endnote>
  <w:endnote w:type="continuationNotice" w:id="1">
    <w:p w14:paraId="767DF640" w14:textId="77777777" w:rsidR="00A12EEF" w:rsidRDefault="00A12E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rial Unicode MS">
    <w:altName w:val="Arial"/>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0FFA" w14:textId="77777777" w:rsidR="00040F60" w:rsidRDefault="00040F60" w:rsidP="00040F60">
    <w:pPr>
      <w:pStyle w:val="Footer"/>
      <w:spacing w:after="384"/>
      <w:contextualSpacing/>
      <w:rPr>
        <w:sz w:val="18"/>
        <w:szCs w:val="18"/>
      </w:rPr>
    </w:pPr>
    <w:r w:rsidRPr="00A67F1C">
      <w:rPr>
        <w:sz w:val="18"/>
        <w:szCs w:val="18"/>
      </w:rPr>
      <w:t xml:space="preserve">British International Investment </w:t>
    </w:r>
    <w:r>
      <w:rPr>
        <w:sz w:val="18"/>
        <w:szCs w:val="18"/>
      </w:rPr>
      <w:t>plc</w:t>
    </w:r>
    <w:r w:rsidRPr="00A67F1C">
      <w:rPr>
        <w:sz w:val="18"/>
        <w:szCs w:val="18"/>
      </w:rPr>
      <w:t xml:space="preserve"> </w:t>
    </w:r>
    <w:r>
      <w:rPr>
        <w:sz w:val="18"/>
        <w:szCs w:val="18"/>
      </w:rPr>
      <w:t xml:space="preserve">is authorised and </w:t>
    </w:r>
    <w:r w:rsidRPr="00A67F1C">
      <w:rPr>
        <w:sz w:val="18"/>
        <w:szCs w:val="18"/>
      </w:rPr>
      <w:t xml:space="preserve">regulated by the Financial Conduct Authority.  </w:t>
    </w:r>
  </w:p>
  <w:p w14:paraId="2447BC90" w14:textId="2592A3DE" w:rsidR="002B7EB1" w:rsidRPr="00C87F8A" w:rsidRDefault="00040F60" w:rsidP="00040F60">
    <w:pPr>
      <w:pStyle w:val="Footer"/>
      <w:spacing w:after="384"/>
    </w:pPr>
    <w:r w:rsidRPr="00A67F1C">
      <w:rPr>
        <w:sz w:val="18"/>
        <w:szCs w:val="18"/>
      </w:rPr>
      <w:t>Registered in England No. 3877777.</w:t>
    </w:r>
    <w:r w:rsidRPr="00A67F1C">
      <w:rPr>
        <w:sz w:val="18"/>
        <w:szCs w:val="18"/>
      </w:rPr>
      <w:br/>
      <w:t xml:space="preserve">Registered address: 123 Victoria Street, London, SW1E 6DE, UK.                                                                                  </w:t>
    </w:r>
    <w:r w:rsidRPr="00A67F1C">
      <w:rPr>
        <w:sz w:val="18"/>
        <w:szCs w:val="18"/>
      </w:rPr>
      <w:br/>
      <w:t>+44 20 7963 4700           bii.co.uk</w:t>
    </w:r>
    <w:r w:rsidRPr="00A67F1C">
      <w:rPr>
        <w:b/>
        <w:bCs/>
        <w:sz w:val="18"/>
        <w:szCs w:val="18"/>
      </w:rPr>
      <w:t xml:space="preserve">    </w:t>
    </w:r>
    <w:r w:rsidR="00C87F8A">
      <w:rPr>
        <w:szCs w:val="20"/>
      </w:rPr>
      <w:t xml:space="preserve"> </w:t>
    </w:r>
    <w:r w:rsidR="00C87F8A">
      <w:rPr>
        <w:b/>
        <w:bCs/>
        <w:szCs w:val="20"/>
      </w:rPr>
      <w:t xml:space="preserve">        </w:t>
    </w:r>
    <w:r w:rsidR="00C87F8A">
      <w:rPr>
        <w:b/>
        <w:bCs/>
        <w:szCs w:val="20"/>
      </w:rPr>
      <w:tab/>
    </w:r>
    <w:r w:rsidR="00C87F8A">
      <w:rPr>
        <w:b/>
        <w:bCs/>
        <w:szCs w:val="20"/>
      </w:rPr>
      <w:tab/>
    </w:r>
    <w:r w:rsidR="00C87F8A">
      <w:rPr>
        <w:b/>
        <w:bCs/>
        <w:szCs w:val="20"/>
      </w:rPr>
      <w:tab/>
      <w:t xml:space="preserve">          </w:t>
    </w:r>
    <w:r w:rsidR="00C87F8A" w:rsidRPr="002A5A21">
      <w:rPr>
        <w:szCs w:val="20"/>
      </w:rPr>
      <w:t xml:space="preserve">Page </w:t>
    </w:r>
    <w:r w:rsidR="00C87F8A" w:rsidRPr="002A5A21">
      <w:rPr>
        <w:b/>
        <w:bCs/>
        <w:szCs w:val="20"/>
      </w:rPr>
      <w:fldChar w:fldCharType="begin"/>
    </w:r>
    <w:r w:rsidR="00C87F8A" w:rsidRPr="002A5A21">
      <w:rPr>
        <w:b/>
        <w:bCs/>
        <w:szCs w:val="20"/>
      </w:rPr>
      <w:instrText xml:space="preserve"> PAGE  \* Arabic  \* MERGEFORMAT </w:instrText>
    </w:r>
    <w:r w:rsidR="00C87F8A" w:rsidRPr="002A5A21">
      <w:rPr>
        <w:b/>
        <w:bCs/>
        <w:szCs w:val="20"/>
      </w:rPr>
      <w:fldChar w:fldCharType="separate"/>
    </w:r>
    <w:r w:rsidR="00C87F8A">
      <w:rPr>
        <w:b/>
        <w:bCs/>
        <w:szCs w:val="20"/>
      </w:rPr>
      <w:t>1</w:t>
    </w:r>
    <w:r w:rsidR="00C87F8A" w:rsidRPr="002A5A21">
      <w:rPr>
        <w:b/>
        <w:bCs/>
        <w:szCs w:val="20"/>
      </w:rPr>
      <w:fldChar w:fldCharType="end"/>
    </w:r>
    <w:r w:rsidR="00C87F8A" w:rsidRPr="002A5A21">
      <w:rPr>
        <w:szCs w:val="20"/>
      </w:rPr>
      <w:t xml:space="preserve"> of </w:t>
    </w:r>
    <w:r w:rsidR="00C87F8A" w:rsidRPr="002A5A21">
      <w:rPr>
        <w:b/>
        <w:bCs/>
        <w:szCs w:val="20"/>
      </w:rPr>
      <w:fldChar w:fldCharType="begin"/>
    </w:r>
    <w:r w:rsidR="00C87F8A" w:rsidRPr="002A5A21">
      <w:rPr>
        <w:b/>
        <w:bCs/>
        <w:szCs w:val="20"/>
      </w:rPr>
      <w:instrText xml:space="preserve"> NUMPAGES  \* Arabic  \* MERGEFORMAT </w:instrText>
    </w:r>
    <w:r w:rsidR="00C87F8A" w:rsidRPr="002A5A21">
      <w:rPr>
        <w:b/>
        <w:bCs/>
        <w:szCs w:val="20"/>
      </w:rPr>
      <w:fldChar w:fldCharType="separate"/>
    </w:r>
    <w:r w:rsidR="00C87F8A">
      <w:rPr>
        <w:b/>
        <w:bCs/>
        <w:szCs w:val="20"/>
      </w:rPr>
      <w:t>2</w:t>
    </w:r>
    <w:r w:rsidR="00C87F8A"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C466" w14:textId="77777777" w:rsidR="007C1DD7" w:rsidRDefault="002A5A21" w:rsidP="002A5A21">
    <w:pPr>
      <w:pStyle w:val="Footer"/>
      <w:spacing w:after="384"/>
      <w:contextualSpacing/>
      <w:rPr>
        <w:sz w:val="18"/>
        <w:szCs w:val="18"/>
      </w:rPr>
    </w:pPr>
    <w:r w:rsidRPr="00A67F1C">
      <w:rPr>
        <w:sz w:val="18"/>
        <w:szCs w:val="18"/>
      </w:rPr>
      <w:t xml:space="preserve">British International Investment </w:t>
    </w:r>
    <w:r w:rsidR="00A67F1C">
      <w:rPr>
        <w:sz w:val="18"/>
        <w:szCs w:val="18"/>
      </w:rPr>
      <w:t>plc</w:t>
    </w:r>
    <w:r w:rsidRPr="00A67F1C">
      <w:rPr>
        <w:sz w:val="18"/>
        <w:szCs w:val="18"/>
      </w:rPr>
      <w:t xml:space="preserve"> </w:t>
    </w:r>
    <w:r w:rsidR="007C1DD7">
      <w:rPr>
        <w:sz w:val="18"/>
        <w:szCs w:val="18"/>
      </w:rPr>
      <w:t>is authorised and</w:t>
    </w:r>
    <w:r w:rsidR="00085987">
      <w:rPr>
        <w:sz w:val="18"/>
        <w:szCs w:val="18"/>
      </w:rPr>
      <w:t xml:space="preserve"> </w:t>
    </w:r>
    <w:r w:rsidRPr="00A67F1C">
      <w:rPr>
        <w:sz w:val="18"/>
        <w:szCs w:val="18"/>
      </w:rPr>
      <w:t xml:space="preserve">regulated by the Financial Conduct Authority.  </w:t>
    </w:r>
  </w:p>
  <w:p w14:paraId="2D5D6582" w14:textId="77777777" w:rsidR="002A5A21" w:rsidRPr="00A67F1C" w:rsidRDefault="003B40ED" w:rsidP="002A5A21">
    <w:pPr>
      <w:pStyle w:val="Footer"/>
      <w:spacing w:after="384"/>
      <w:contextualSpacing/>
      <w:rPr>
        <w:sz w:val="18"/>
        <w:szCs w:val="18"/>
      </w:rPr>
    </w:pPr>
    <w:r w:rsidRPr="00A67F1C">
      <w:rPr>
        <w:sz w:val="18"/>
        <w:szCs w:val="18"/>
      </w:rPr>
      <w:t>Registered in England No. 3877777.</w:t>
    </w:r>
    <w:r w:rsidR="002A5A21" w:rsidRPr="00A67F1C">
      <w:rPr>
        <w:sz w:val="18"/>
        <w:szCs w:val="18"/>
      </w:rPr>
      <w:br/>
      <w:t>Registered address: 123 Victoria Street, London, SW1E 6DE, UK.</w:t>
    </w:r>
    <w:r w:rsidR="009A7F40" w:rsidRPr="00A67F1C">
      <w:rPr>
        <w:sz w:val="18"/>
        <w:szCs w:val="18"/>
      </w:rPr>
      <w:t xml:space="preserve">      </w:t>
    </w:r>
    <w:r w:rsidRPr="00A67F1C">
      <w:rPr>
        <w:sz w:val="18"/>
        <w:szCs w:val="18"/>
      </w:rPr>
      <w:t xml:space="preserve">                                                                            </w:t>
    </w:r>
    <w:r w:rsidR="00C87F8A" w:rsidRPr="00A67F1C">
      <w:rPr>
        <w:sz w:val="18"/>
        <w:szCs w:val="18"/>
      </w:rPr>
      <w:br/>
    </w:r>
    <w:r w:rsidR="002A5A21" w:rsidRPr="00A67F1C">
      <w:rPr>
        <w:sz w:val="18"/>
        <w:szCs w:val="18"/>
      </w:rPr>
      <w:t>+44 20 7963 4700           bii.co.uk</w:t>
    </w:r>
    <w:r w:rsidR="002A5A21" w:rsidRPr="00A67F1C">
      <w:rPr>
        <w:b/>
        <w:bCs/>
        <w:sz w:val="18"/>
        <w:szCs w:val="18"/>
      </w:rPr>
      <w:t xml:space="preserve">        </w:t>
    </w:r>
    <w:r w:rsidR="00C87F8A" w:rsidRPr="00A67F1C">
      <w:rPr>
        <w:b/>
        <w:bCs/>
        <w:sz w:val="18"/>
        <w:szCs w:val="18"/>
      </w:rPr>
      <w:tab/>
    </w:r>
    <w:r w:rsidR="00C87F8A" w:rsidRPr="00A67F1C">
      <w:rPr>
        <w:b/>
        <w:bCs/>
        <w:sz w:val="18"/>
        <w:szCs w:val="18"/>
      </w:rPr>
      <w:tab/>
    </w:r>
    <w:r w:rsidR="00C87F8A" w:rsidRPr="00A67F1C">
      <w:rPr>
        <w:b/>
        <w:bCs/>
        <w:sz w:val="18"/>
        <w:szCs w:val="18"/>
      </w:rPr>
      <w:tab/>
      <w:t xml:space="preserve">          </w:t>
    </w:r>
    <w:r w:rsidR="00C87F8A" w:rsidRPr="00A67F1C">
      <w:rPr>
        <w:sz w:val="18"/>
        <w:szCs w:val="18"/>
      </w:rPr>
      <w:t xml:space="preserve">Page </w:t>
    </w:r>
    <w:r w:rsidR="00C87F8A" w:rsidRPr="00A67F1C">
      <w:rPr>
        <w:b/>
        <w:bCs/>
        <w:sz w:val="18"/>
        <w:szCs w:val="18"/>
      </w:rPr>
      <w:fldChar w:fldCharType="begin"/>
    </w:r>
    <w:r w:rsidR="00C87F8A" w:rsidRPr="00A67F1C">
      <w:rPr>
        <w:b/>
        <w:bCs/>
        <w:sz w:val="18"/>
        <w:szCs w:val="18"/>
      </w:rPr>
      <w:instrText xml:space="preserve"> PAGE  \* Arabic  \* MERGEFORMAT </w:instrText>
    </w:r>
    <w:r w:rsidR="00C87F8A" w:rsidRPr="00A67F1C">
      <w:rPr>
        <w:b/>
        <w:bCs/>
        <w:sz w:val="18"/>
        <w:szCs w:val="18"/>
      </w:rPr>
      <w:fldChar w:fldCharType="separate"/>
    </w:r>
    <w:r w:rsidR="00C87F8A" w:rsidRPr="00A67F1C">
      <w:rPr>
        <w:b/>
        <w:bCs/>
        <w:sz w:val="18"/>
        <w:szCs w:val="18"/>
      </w:rPr>
      <w:t>1</w:t>
    </w:r>
    <w:r w:rsidR="00C87F8A" w:rsidRPr="00A67F1C">
      <w:rPr>
        <w:b/>
        <w:bCs/>
        <w:sz w:val="18"/>
        <w:szCs w:val="18"/>
      </w:rPr>
      <w:fldChar w:fldCharType="end"/>
    </w:r>
    <w:r w:rsidR="00C87F8A" w:rsidRPr="00A67F1C">
      <w:rPr>
        <w:sz w:val="18"/>
        <w:szCs w:val="18"/>
      </w:rPr>
      <w:t xml:space="preserve"> of </w:t>
    </w:r>
    <w:r w:rsidR="00C87F8A" w:rsidRPr="00A67F1C">
      <w:rPr>
        <w:b/>
        <w:bCs/>
        <w:sz w:val="18"/>
        <w:szCs w:val="18"/>
      </w:rPr>
      <w:fldChar w:fldCharType="begin"/>
    </w:r>
    <w:r w:rsidR="00C87F8A" w:rsidRPr="00A67F1C">
      <w:rPr>
        <w:b/>
        <w:bCs/>
        <w:sz w:val="18"/>
        <w:szCs w:val="18"/>
      </w:rPr>
      <w:instrText xml:space="preserve"> NUMPAGES  \* Arabic  \* MERGEFORMAT </w:instrText>
    </w:r>
    <w:r w:rsidR="00C87F8A" w:rsidRPr="00A67F1C">
      <w:rPr>
        <w:b/>
        <w:bCs/>
        <w:sz w:val="18"/>
        <w:szCs w:val="18"/>
      </w:rPr>
      <w:fldChar w:fldCharType="separate"/>
    </w:r>
    <w:r w:rsidR="00C87F8A" w:rsidRPr="00A67F1C">
      <w:rPr>
        <w:b/>
        <w:bCs/>
        <w:sz w:val="18"/>
        <w:szCs w:val="18"/>
      </w:rPr>
      <w:t>2</w:t>
    </w:r>
    <w:r w:rsidR="00C87F8A" w:rsidRPr="00A67F1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1916" w14:textId="77777777" w:rsidR="00A12EEF" w:rsidRDefault="00A12EEF">
      <w:pPr>
        <w:spacing w:after="384"/>
      </w:pPr>
      <w:r>
        <w:rPr>
          <w:color w:val="000000"/>
        </w:rPr>
        <w:separator/>
      </w:r>
    </w:p>
  </w:footnote>
  <w:footnote w:type="continuationSeparator" w:id="0">
    <w:p w14:paraId="4CE7271B" w14:textId="77777777" w:rsidR="00A12EEF" w:rsidRDefault="00A12EEF">
      <w:pPr>
        <w:spacing w:after="384"/>
      </w:pPr>
      <w:r>
        <w:continuationSeparator/>
      </w:r>
    </w:p>
  </w:footnote>
  <w:footnote w:type="continuationNotice" w:id="1">
    <w:p w14:paraId="1461840C" w14:textId="77777777" w:rsidR="00A12EEF" w:rsidRDefault="00A12E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9320" w14:textId="551FBAB2" w:rsidR="00040F60" w:rsidRDefault="00040F60">
    <w:pPr>
      <w:pStyle w:val="Header"/>
    </w:pPr>
    <w:r>
      <w:rPr>
        <w:noProof/>
      </w:rPr>
      <w:drawing>
        <wp:anchor distT="0" distB="0" distL="114300" distR="114300" simplePos="0" relativeHeight="251664384" behindDoc="0" locked="0" layoutInCell="1" allowOverlap="1" wp14:anchorId="2371FEF1" wp14:editId="595461BE">
          <wp:simplePos x="0" y="0"/>
          <wp:positionH relativeFrom="column">
            <wp:posOffset>0</wp:posOffset>
          </wp:positionH>
          <wp:positionV relativeFrom="paragraph">
            <wp:posOffset>-252095</wp:posOffset>
          </wp:positionV>
          <wp:extent cx="1917989" cy="738000"/>
          <wp:effectExtent l="0" t="0" r="0" b="0"/>
          <wp:wrapNone/>
          <wp:docPr id="46781394" name="Picture 1"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989" cy="73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D03B49E" wp14:editId="0E82B7C4">
          <wp:simplePos x="0" y="0"/>
          <wp:positionH relativeFrom="column">
            <wp:posOffset>2526665</wp:posOffset>
          </wp:positionH>
          <wp:positionV relativeFrom="paragraph">
            <wp:posOffset>40005</wp:posOffset>
          </wp:positionV>
          <wp:extent cx="1340485" cy="427990"/>
          <wp:effectExtent l="0" t="0" r="0" b="0"/>
          <wp:wrapSquare wrapText="bothSides"/>
          <wp:docPr id="46781397" name="Picture 46781397"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5F">
      <w:rPr>
        <w:noProof/>
      </w:rPr>
      <w:drawing>
        <wp:anchor distT="0" distB="0" distL="114300" distR="114300" simplePos="0" relativeHeight="251666432" behindDoc="0" locked="0" layoutInCell="1" allowOverlap="1" wp14:anchorId="50D2D01E" wp14:editId="737A897D">
          <wp:simplePos x="0" y="0"/>
          <wp:positionH relativeFrom="column">
            <wp:posOffset>5574665</wp:posOffset>
          </wp:positionH>
          <wp:positionV relativeFrom="paragraph">
            <wp:posOffset>66675</wp:posOffset>
          </wp:positionV>
          <wp:extent cx="828675" cy="428625"/>
          <wp:effectExtent l="0" t="0" r="0" b="0"/>
          <wp:wrapSquare wrapText="bothSides"/>
          <wp:docPr id="46781396" name="Picture 4678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EE13" w14:textId="2C542042" w:rsidR="002B7EB1" w:rsidRDefault="00040F60" w:rsidP="00D213DB">
    <w:pPr>
      <w:spacing w:after="384"/>
      <w:ind w:left="-142"/>
    </w:pPr>
    <w:r>
      <w:rPr>
        <w:noProof/>
      </w:rPr>
      <w:drawing>
        <wp:anchor distT="0" distB="0" distL="114300" distR="114300" simplePos="0" relativeHeight="251661312" behindDoc="0" locked="0" layoutInCell="1" allowOverlap="1" wp14:anchorId="5D91F4C6" wp14:editId="57B42934">
          <wp:simplePos x="0" y="0"/>
          <wp:positionH relativeFrom="column">
            <wp:posOffset>2533650</wp:posOffset>
          </wp:positionH>
          <wp:positionV relativeFrom="paragraph">
            <wp:posOffset>58420</wp:posOffset>
          </wp:positionV>
          <wp:extent cx="1340485" cy="427990"/>
          <wp:effectExtent l="0" t="0" r="0" b="0"/>
          <wp:wrapSquare wrapText="bothSides"/>
          <wp:docPr id="3" name="Picture 3"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5F">
      <w:rPr>
        <w:noProof/>
      </w:rPr>
      <w:drawing>
        <wp:anchor distT="0" distB="0" distL="114300" distR="114300" simplePos="0" relativeHeight="251662336" behindDoc="0" locked="0" layoutInCell="1" allowOverlap="1" wp14:anchorId="0EFA5206" wp14:editId="4524F09A">
          <wp:simplePos x="0" y="0"/>
          <wp:positionH relativeFrom="column">
            <wp:posOffset>5581650</wp:posOffset>
          </wp:positionH>
          <wp:positionV relativeFrom="paragraph">
            <wp:posOffset>57150</wp:posOffset>
          </wp:positionV>
          <wp:extent cx="828675" cy="428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r w:rsidR="00C8669C">
      <w:rPr>
        <w:noProof/>
      </w:rPr>
      <w:drawing>
        <wp:anchor distT="0" distB="0" distL="114300" distR="114300" simplePos="0" relativeHeight="251659264" behindDoc="0" locked="0" layoutInCell="1" allowOverlap="1" wp14:anchorId="5F4FC18B" wp14:editId="0D487727">
          <wp:simplePos x="0" y="0"/>
          <wp:positionH relativeFrom="column">
            <wp:posOffset>-50165</wp:posOffset>
          </wp:positionH>
          <wp:positionV relativeFrom="paragraph">
            <wp:posOffset>-180975</wp:posOffset>
          </wp:positionV>
          <wp:extent cx="1917989" cy="738000"/>
          <wp:effectExtent l="0" t="0" r="0" b="0"/>
          <wp:wrapNone/>
          <wp:docPr id="6" name="Picture 6"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989" cy="73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72DFC" w14:textId="19CF39A4" w:rsidR="002B7EB1" w:rsidRDefault="002B7EB1">
    <w:pPr>
      <w:spacing w:after="3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44015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1516A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215F8B"/>
    <w:multiLevelType w:val="hybridMultilevel"/>
    <w:tmpl w:val="5A2A689E"/>
    <w:lvl w:ilvl="0" w:tplc="E8C6B03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0" w15:restartNumberingAfterBreak="0">
    <w:nsid w:val="28E62817"/>
    <w:multiLevelType w:val="multilevel"/>
    <w:tmpl w:val="A8E01504"/>
    <w:styleLink w:val="Ergon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7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AA642F0"/>
    <w:multiLevelType w:val="multilevel"/>
    <w:tmpl w:val="0809001F"/>
    <w:numStyleLink w:val="11numberbullet"/>
  </w:abstractNum>
  <w:abstractNum w:abstractNumId="15" w15:restartNumberingAfterBreak="0">
    <w:nsid w:val="3D291027"/>
    <w:multiLevelType w:val="multilevel"/>
    <w:tmpl w:val="0809001F"/>
    <w:numStyleLink w:val="11numberbullet"/>
  </w:abstractNum>
  <w:abstractNum w:abstractNumId="16" w15:restartNumberingAfterBreak="0">
    <w:nsid w:val="418A14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B75DC7"/>
    <w:multiLevelType w:val="hybridMultilevel"/>
    <w:tmpl w:val="A74E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1786F"/>
    <w:multiLevelType w:val="hybridMultilevel"/>
    <w:tmpl w:val="59C2FD06"/>
    <w:lvl w:ilvl="0" w:tplc="9D0A2F0E">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841E35"/>
    <w:multiLevelType w:val="hybridMultilevel"/>
    <w:tmpl w:val="2286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551193"/>
    <w:multiLevelType w:val="multilevel"/>
    <w:tmpl w:val="A8E01504"/>
    <w:numStyleLink w:val="ErgonList"/>
  </w:abstractNum>
  <w:abstractNum w:abstractNumId="28" w15:restartNumberingAfterBreak="0">
    <w:nsid w:val="7D56332C"/>
    <w:multiLevelType w:val="multilevel"/>
    <w:tmpl w:val="0809001F"/>
    <w:styleLink w:val="11numberbullet"/>
    <w:lvl w:ilvl="0">
      <w:start w:val="1"/>
      <w:numFmt w:val="decimal"/>
      <w:pStyle w:val="Heading-numbered"/>
      <w:lvlText w:val="%1."/>
      <w:lvlJc w:val="left"/>
      <w:pPr>
        <w:ind w:left="360" w:hanging="360"/>
      </w:pPr>
      <w:rPr>
        <w:rFonts w:ascii="Cambria" w:hAnsi="Cambr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3483689">
    <w:abstractNumId w:val="23"/>
  </w:num>
  <w:num w:numId="2" w16cid:durableId="905341251">
    <w:abstractNumId w:val="25"/>
  </w:num>
  <w:num w:numId="3" w16cid:durableId="2049526660">
    <w:abstractNumId w:val="6"/>
  </w:num>
  <w:num w:numId="4" w16cid:durableId="1012224739">
    <w:abstractNumId w:val="13"/>
  </w:num>
  <w:num w:numId="5" w16cid:durableId="1834880710">
    <w:abstractNumId w:val="26"/>
  </w:num>
  <w:num w:numId="6" w16cid:durableId="1576668292">
    <w:abstractNumId w:val="12"/>
  </w:num>
  <w:num w:numId="7" w16cid:durableId="1852379733">
    <w:abstractNumId w:val="8"/>
  </w:num>
  <w:num w:numId="8" w16cid:durableId="1027559327">
    <w:abstractNumId w:val="3"/>
  </w:num>
  <w:num w:numId="9" w16cid:durableId="1162350400">
    <w:abstractNumId w:val="19"/>
  </w:num>
  <w:num w:numId="10" w16cid:durableId="1615476363">
    <w:abstractNumId w:val="11"/>
  </w:num>
  <w:num w:numId="11" w16cid:durableId="269092991">
    <w:abstractNumId w:val="24"/>
  </w:num>
  <w:num w:numId="12" w16cid:durableId="291636618">
    <w:abstractNumId w:val="20"/>
  </w:num>
  <w:num w:numId="13" w16cid:durableId="1821343607">
    <w:abstractNumId w:val="5"/>
  </w:num>
  <w:num w:numId="14" w16cid:durableId="351152643">
    <w:abstractNumId w:val="2"/>
  </w:num>
  <w:num w:numId="15" w16cid:durableId="717125806">
    <w:abstractNumId w:val="4"/>
  </w:num>
  <w:num w:numId="16" w16cid:durableId="111412397">
    <w:abstractNumId w:val="1"/>
  </w:num>
  <w:num w:numId="17" w16cid:durableId="2030989046">
    <w:abstractNumId w:val="0"/>
  </w:num>
  <w:num w:numId="18" w16cid:durableId="404423359">
    <w:abstractNumId w:val="18"/>
  </w:num>
  <w:num w:numId="19" w16cid:durableId="1031108166">
    <w:abstractNumId w:val="9"/>
  </w:num>
  <w:num w:numId="20" w16cid:durableId="196509368">
    <w:abstractNumId w:val="28"/>
  </w:num>
  <w:num w:numId="21" w16cid:durableId="749540198">
    <w:abstractNumId w:val="14"/>
  </w:num>
  <w:num w:numId="22" w16cid:durableId="1688363228">
    <w:abstractNumId w:val="22"/>
  </w:num>
  <w:num w:numId="23" w16cid:durableId="825168367">
    <w:abstractNumId w:val="15"/>
  </w:num>
  <w:num w:numId="24" w16cid:durableId="1105807460">
    <w:abstractNumId w:val="16"/>
  </w:num>
  <w:num w:numId="25" w16cid:durableId="1147627954">
    <w:abstractNumId w:val="7"/>
  </w:num>
  <w:num w:numId="26" w16cid:durableId="106313784">
    <w:abstractNumId w:val="10"/>
  </w:num>
  <w:num w:numId="27" w16cid:durableId="1828204121">
    <w:abstractNumId w:val="27"/>
  </w:num>
  <w:num w:numId="28" w16cid:durableId="1003051046">
    <w:abstractNumId w:val="21"/>
  </w:num>
  <w:num w:numId="29" w16cid:durableId="171581070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60"/>
    <w:rsid w:val="00040F60"/>
    <w:rsid w:val="00064D6D"/>
    <w:rsid w:val="0008424D"/>
    <w:rsid w:val="00085987"/>
    <w:rsid w:val="000E0B12"/>
    <w:rsid w:val="000F09FF"/>
    <w:rsid w:val="000F7255"/>
    <w:rsid w:val="0013311F"/>
    <w:rsid w:val="0015253A"/>
    <w:rsid w:val="001711CE"/>
    <w:rsid w:val="00191F90"/>
    <w:rsid w:val="00277146"/>
    <w:rsid w:val="002A5A21"/>
    <w:rsid w:val="002B7EB1"/>
    <w:rsid w:val="002C0ECC"/>
    <w:rsid w:val="002C6546"/>
    <w:rsid w:val="002F1BA0"/>
    <w:rsid w:val="00366473"/>
    <w:rsid w:val="003723FE"/>
    <w:rsid w:val="00385900"/>
    <w:rsid w:val="00385BD5"/>
    <w:rsid w:val="003A615C"/>
    <w:rsid w:val="003B40ED"/>
    <w:rsid w:val="003B6E87"/>
    <w:rsid w:val="003E425D"/>
    <w:rsid w:val="003E43D5"/>
    <w:rsid w:val="00463DE9"/>
    <w:rsid w:val="004B0D4A"/>
    <w:rsid w:val="004E63D9"/>
    <w:rsid w:val="004F593D"/>
    <w:rsid w:val="0055350E"/>
    <w:rsid w:val="0058458F"/>
    <w:rsid w:val="005F0836"/>
    <w:rsid w:val="00611F73"/>
    <w:rsid w:val="00616934"/>
    <w:rsid w:val="00617BF4"/>
    <w:rsid w:val="00704594"/>
    <w:rsid w:val="00781D9D"/>
    <w:rsid w:val="007A17D7"/>
    <w:rsid w:val="007C1DD7"/>
    <w:rsid w:val="007E1F42"/>
    <w:rsid w:val="00804698"/>
    <w:rsid w:val="00811720"/>
    <w:rsid w:val="008244F7"/>
    <w:rsid w:val="00867073"/>
    <w:rsid w:val="008A3501"/>
    <w:rsid w:val="008A7466"/>
    <w:rsid w:val="009203ED"/>
    <w:rsid w:val="00923E8E"/>
    <w:rsid w:val="0094034E"/>
    <w:rsid w:val="0094322E"/>
    <w:rsid w:val="00947675"/>
    <w:rsid w:val="0095118B"/>
    <w:rsid w:val="00953647"/>
    <w:rsid w:val="009768E9"/>
    <w:rsid w:val="00984140"/>
    <w:rsid w:val="009A0A38"/>
    <w:rsid w:val="009A7F40"/>
    <w:rsid w:val="009B0230"/>
    <w:rsid w:val="009B7204"/>
    <w:rsid w:val="009C6FC4"/>
    <w:rsid w:val="009E6AFE"/>
    <w:rsid w:val="00A12EEF"/>
    <w:rsid w:val="00A679DA"/>
    <w:rsid w:val="00A67F1C"/>
    <w:rsid w:val="00A978CE"/>
    <w:rsid w:val="00AA7109"/>
    <w:rsid w:val="00AC0E6D"/>
    <w:rsid w:val="00AC344E"/>
    <w:rsid w:val="00AE4BB4"/>
    <w:rsid w:val="00B02043"/>
    <w:rsid w:val="00B12B89"/>
    <w:rsid w:val="00B137E4"/>
    <w:rsid w:val="00B37D01"/>
    <w:rsid w:val="00B73470"/>
    <w:rsid w:val="00BE78B5"/>
    <w:rsid w:val="00C06155"/>
    <w:rsid w:val="00C11822"/>
    <w:rsid w:val="00C8669C"/>
    <w:rsid w:val="00C87F8A"/>
    <w:rsid w:val="00CB6382"/>
    <w:rsid w:val="00CF1535"/>
    <w:rsid w:val="00CF1AE3"/>
    <w:rsid w:val="00D16EC9"/>
    <w:rsid w:val="00D213DB"/>
    <w:rsid w:val="00D30F2B"/>
    <w:rsid w:val="00D3451A"/>
    <w:rsid w:val="00D36D31"/>
    <w:rsid w:val="00D91FEA"/>
    <w:rsid w:val="00D9740D"/>
    <w:rsid w:val="00DA3961"/>
    <w:rsid w:val="00DA5708"/>
    <w:rsid w:val="00DE3808"/>
    <w:rsid w:val="00E40221"/>
    <w:rsid w:val="00E442DB"/>
    <w:rsid w:val="00E71833"/>
    <w:rsid w:val="00E80CF0"/>
    <w:rsid w:val="00EB0C09"/>
    <w:rsid w:val="00F12CA0"/>
    <w:rsid w:val="00F40C71"/>
    <w:rsid w:val="00F8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718F2"/>
  <w15:docId w15:val="{40AD5651-F47D-4185-B89F-4371E0D1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F7"/>
    <w:pPr>
      <w:spacing w:line="312" w:lineRule="auto"/>
    </w:pPr>
    <w:rPr>
      <w:rFonts w:ascii="Cambria" w:hAnsi="Cambria"/>
    </w:rPr>
  </w:style>
  <w:style w:type="paragraph" w:styleId="Heading1">
    <w:name w:val="heading 1"/>
    <w:basedOn w:val="Normal"/>
    <w:next w:val="Normal"/>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CF1AE3"/>
    <w:pPr>
      <w:numPr>
        <w:numId w:val="17"/>
      </w:numPr>
      <w:contextualSpacing/>
    </w:pPr>
  </w:style>
  <w:style w:type="paragraph" w:customStyle="1" w:styleId="Numberlistlevel1">
    <w:name w:val="Number list level 1"/>
    <w:basedOn w:val="ListBullet2"/>
    <w:qFormat/>
    <w:rsid w:val="00867073"/>
    <w:pPr>
      <w:numPr>
        <w:numId w:val="18"/>
      </w:numPr>
      <w:ind w:left="426" w:hanging="426"/>
    </w:p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rsid w:val="00A978CE"/>
    <w:rPr>
      <w:rFonts w:ascii="Cambria" w:hAnsi="Cambria"/>
      <w:position w:val="0"/>
      <w:sz w:val="20"/>
      <w:vertAlign w:val="superscript"/>
    </w:rPr>
  </w:style>
  <w:style w:type="paragraph" w:styleId="Title">
    <w:name w:val="Title"/>
    <w:basedOn w:val="Normal"/>
    <w:next w:val="NoSpacing"/>
    <w:link w:val="TitleChar"/>
    <w:uiPriority w:val="10"/>
    <w:qFormat/>
    <w:rsid w:val="008244F7"/>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8244F7"/>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8244F7"/>
    <w:pPr>
      <w:numPr>
        <w:ilvl w:val="1"/>
      </w:numPr>
      <w:spacing w:line="240" w:lineRule="auto"/>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8244F7"/>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iPriority w:val="99"/>
    <w:unhideWhenUsed/>
    <w:rsid w:val="00CF1AE3"/>
    <w:pPr>
      <w:numPr>
        <w:numId w:val="14"/>
      </w:numPr>
      <w:contextualSpacing/>
    </w:pPr>
  </w:style>
  <w:style w:type="paragraph" w:customStyle="1" w:styleId="Bulletlevel1">
    <w:name w:val="Bullet level 1"/>
    <w:basedOn w:val="ListBullet"/>
    <w:qFormat/>
    <w:rsid w:val="00867073"/>
    <w:pPr>
      <w:tabs>
        <w:tab w:val="clear" w:pos="360"/>
      </w:tabs>
      <w:ind w:left="426" w:hanging="426"/>
    </w:p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867073"/>
    <w:pPr>
      <w:numPr>
        <w:numId w:val="19"/>
      </w:numPr>
      <w:ind w:left="993" w:hanging="426"/>
    </w:p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867073"/>
    <w:rPr>
      <w:rFonts w:ascii="Cambria" w:hAnsi="Cambria"/>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Heading-numbered">
    <w:name w:val="Heading - numbered"/>
    <w:basedOn w:val="Normal"/>
    <w:link w:val="Heading-numberedChar"/>
    <w:rsid w:val="00366473"/>
    <w:pPr>
      <w:numPr>
        <w:numId w:val="23"/>
      </w:numPr>
      <w:tabs>
        <w:tab w:val="right" w:pos="8080"/>
      </w:tabs>
      <w:suppressAutoHyphens/>
      <w:spacing w:after="113"/>
      <w:ind w:right="1985"/>
    </w:pPr>
    <w:rPr>
      <w:rFonts w:asciiTheme="minorHAnsi" w:hAnsiTheme="minorHAnsi"/>
      <w:b/>
      <w:bCs/>
      <w:noProof/>
    </w:rPr>
  </w:style>
  <w:style w:type="character" w:customStyle="1" w:styleId="Heading-numberedChar">
    <w:name w:val="Heading - numbered Char"/>
    <w:basedOn w:val="DefaultParagraphFont"/>
    <w:link w:val="Heading-numbered"/>
    <w:rsid w:val="00366473"/>
    <w:rPr>
      <w:rFonts w:asciiTheme="minorHAnsi" w:hAnsiTheme="minorHAnsi"/>
      <w:b/>
      <w:bCs/>
      <w:noProof/>
    </w:rPr>
  </w:style>
  <w:style w:type="paragraph" w:customStyle="1" w:styleId="Heading2-numbered">
    <w:name w:val="Heading 2 - numbered"/>
    <w:basedOn w:val="Heading-numbered"/>
    <w:link w:val="Heading2-numberedChar"/>
    <w:qFormat/>
    <w:rsid w:val="00366473"/>
    <w:pPr>
      <w:numPr>
        <w:ilvl w:val="1"/>
      </w:numPr>
      <w:ind w:left="567" w:hanging="567"/>
    </w:pPr>
    <w:rPr>
      <w:color w:val="EF7D00" w:themeColor="background1"/>
    </w:rPr>
  </w:style>
  <w:style w:type="paragraph" w:customStyle="1" w:styleId="Heading3-numbered">
    <w:name w:val="Heading 3 - numbered"/>
    <w:basedOn w:val="Heading-numbered"/>
    <w:link w:val="Heading3-numberedChar"/>
    <w:qFormat/>
    <w:rsid w:val="00366473"/>
    <w:pPr>
      <w:numPr>
        <w:ilvl w:val="2"/>
      </w:numPr>
      <w:ind w:left="851" w:right="27" w:hanging="851"/>
    </w:pPr>
    <w:rPr>
      <w:color w:val="A4B2A5" w:themeColor="text2"/>
    </w:rPr>
  </w:style>
  <w:style w:type="character" w:customStyle="1" w:styleId="Heading2-numberedChar">
    <w:name w:val="Heading 2 - numbered Char"/>
    <w:basedOn w:val="Heading-numberedChar"/>
    <w:link w:val="Heading2-numbered"/>
    <w:rsid w:val="00366473"/>
    <w:rPr>
      <w:rFonts w:asciiTheme="minorHAnsi" w:hAnsiTheme="minorHAnsi"/>
      <w:b/>
      <w:bCs/>
      <w:noProof/>
      <w:color w:val="EF7D00" w:themeColor="background1"/>
    </w:rPr>
  </w:style>
  <w:style w:type="character" w:customStyle="1" w:styleId="Heading3-numberedChar">
    <w:name w:val="Heading 3 - numbered Char"/>
    <w:basedOn w:val="Heading-numberedChar"/>
    <w:link w:val="Heading3-numbered"/>
    <w:rsid w:val="00366473"/>
    <w:rPr>
      <w:rFonts w:asciiTheme="minorHAnsi" w:hAnsiTheme="minorHAnsi"/>
      <w:b/>
      <w:bCs/>
      <w:noProof/>
      <w:color w:val="A4B2A5" w:themeColor="text2"/>
    </w:rPr>
  </w:style>
  <w:style w:type="paragraph" w:customStyle="1" w:styleId="Heading1-numbered">
    <w:name w:val="Heading 1 - numbered"/>
    <w:basedOn w:val="Heading-numbered"/>
    <w:link w:val="Heading1-numberedChar"/>
    <w:qFormat/>
    <w:rsid w:val="000F09FF"/>
    <w:pPr>
      <w:ind w:left="426" w:hanging="426"/>
    </w:pPr>
  </w:style>
  <w:style w:type="character" w:customStyle="1" w:styleId="Heading1-numberedChar">
    <w:name w:val="Heading 1 - numbered Char"/>
    <w:basedOn w:val="Heading-numberedChar"/>
    <w:link w:val="Heading1-numbered"/>
    <w:rsid w:val="000F09FF"/>
    <w:rPr>
      <w:rFonts w:asciiTheme="minorHAnsi" w:hAnsiTheme="minorHAnsi"/>
      <w:b/>
      <w:bCs/>
      <w:noProof/>
    </w:rPr>
  </w:style>
  <w:style w:type="paragraph" w:styleId="Revision">
    <w:name w:val="Revision"/>
    <w:hidden/>
    <w:uiPriority w:val="99"/>
    <w:semiHidden/>
    <w:rsid w:val="007C1DD7"/>
    <w:pPr>
      <w:autoSpaceDN/>
      <w:textAlignment w:val="auto"/>
    </w:pPr>
    <w:rPr>
      <w:rFonts w:ascii="Cambria" w:hAnsi="Cambria"/>
    </w:rPr>
  </w:style>
  <w:style w:type="numbering" w:customStyle="1" w:styleId="ErgonList">
    <w:name w:val="Ergon List"/>
    <w:uiPriority w:val="99"/>
    <w:rsid w:val="00040F60"/>
    <w:pPr>
      <w:numPr>
        <w:numId w:val="26"/>
      </w:numPr>
    </w:pPr>
  </w:style>
  <w:style w:type="paragraph" w:customStyle="1" w:styleId="Tabletext">
    <w:name w:val="Table text"/>
    <w:qFormat/>
    <w:rsid w:val="00040F60"/>
    <w:pPr>
      <w:autoSpaceDN/>
      <w:spacing w:line="240" w:lineRule="atLeast"/>
      <w:textAlignment w:val="auto"/>
    </w:pPr>
    <w:rPr>
      <w:rFonts w:asciiTheme="minorHAnsi" w:eastAsiaTheme="minorEastAsia" w:hAnsiTheme="minorHAnsi" w:cstheme="minorBidi"/>
      <w:color w:val="A4B2A5" w:themeColor="text2"/>
      <w:sz w:val="18"/>
      <w:szCs w:val="22"/>
      <w:lang w:eastAsia="zh-CN"/>
    </w:rPr>
  </w:style>
  <w:style w:type="paragraph" w:customStyle="1" w:styleId="Tabletitle">
    <w:name w:val="Table title"/>
    <w:basedOn w:val="Tabletext"/>
    <w:next w:val="Tabletext"/>
    <w:qFormat/>
    <w:rsid w:val="00040F60"/>
    <w:rPr>
      <w:color w:val="EF7D00" w:themeColor="background1"/>
    </w:rPr>
  </w:style>
  <w:style w:type="table" w:customStyle="1" w:styleId="Ergontable">
    <w:name w:val="Ergon table"/>
    <w:basedOn w:val="TableNormal"/>
    <w:uiPriority w:val="99"/>
    <w:rsid w:val="00040F60"/>
    <w:pPr>
      <w:autoSpaceDN/>
      <w:spacing w:line="240" w:lineRule="atLeast"/>
      <w:textAlignment w:val="auto"/>
    </w:pPr>
    <w:rPr>
      <w:rFonts w:asciiTheme="minorHAnsi" w:eastAsiaTheme="minorEastAsia" w:hAnsiTheme="minorHAnsi" w:cs="Arial Unicode MS"/>
      <w:color w:val="A4B2A5" w:themeColor="text2"/>
      <w:sz w:val="18"/>
      <w:szCs w:val="18"/>
      <w:lang w:eastAsia="zh-CN"/>
    </w:rPr>
    <w:tblPr>
      <w:tblBorders>
        <w:insideH w:val="single" w:sz="4" w:space="0" w:color="EF7D00" w:themeColor="background1"/>
        <w:insideV w:val="single" w:sz="4" w:space="0" w:color="EF7D00" w:themeColor="background1"/>
      </w:tblBorders>
      <w:tblCellMar>
        <w:top w:w="57" w:type="dxa"/>
        <w:left w:w="113" w:type="dxa"/>
        <w:bottom w:w="113" w:type="dxa"/>
        <w:right w:w="113" w:type="dxa"/>
      </w:tblCellMar>
    </w:tblPr>
    <w:tcPr>
      <w:shd w:val="clear" w:color="auto" w:fill="FFFFFF" w:themeFill="background2" w:themeFillTint="33"/>
    </w:tcPr>
    <w:tblStylePr w:type="firstRow">
      <w:rPr>
        <w:rFonts w:ascii="Franklin Gothic Medium" w:hAnsi="Franklin Gothic Medium"/>
        <w:color w:val="EF7D00" w:themeColor="background1"/>
      </w:rPr>
      <w:tblPr/>
      <w:trPr>
        <w:tblHeader/>
      </w:trPr>
      <w:tcPr>
        <w:shd w:val="clear" w:color="auto" w:fill="000000" w:themeFill="accent1"/>
      </w:tcPr>
    </w:tblStylePr>
  </w:style>
  <w:style w:type="table" w:styleId="TableGrid">
    <w:name w:val="Table Grid"/>
    <w:basedOn w:val="TableNormal"/>
    <w:uiPriority w:val="39"/>
    <w:rsid w:val="003A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dcgroupcom.sharepoint.com/BII%20Org%20Assets%20Library/BII%20Document.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5800705-6cab-460c-b450-fee685b6c533" ContentTypeId="0x0101000ABE5BDCD31A9B409314102C7009B25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60208c032404629b4d3226b63133635 xmlns="870cb497-4044-4cf2-90cc-f4ae0dbc3665">
      <Terms xmlns="http://schemas.microsoft.com/office/infopath/2007/PartnerControls"/>
    </e60208c032404629b4d3226b63133635>
    <TaxCatchAll xmlns="870cb497-4044-4cf2-90cc-f4ae0dbc3665" xsi:nil="true"/>
    <m84d7c7f63cb451b899bccc83df50b61 xmlns="870cb497-4044-4cf2-90cc-f4ae0dbc3665">
      <Terms xmlns="http://schemas.microsoft.com/office/infopath/2007/PartnerControls"/>
    </m84d7c7f63cb451b899bccc83df50b61>
  </documentManagement>
</p:properties>
</file>

<file path=customXml/item4.xml><?xml version="1.0" encoding="utf-8"?>
<ct:contentTypeSchema xmlns:ct="http://schemas.microsoft.com/office/2006/metadata/contentType" xmlns:ma="http://schemas.microsoft.com/office/2006/metadata/properties/metaAttributes" ct:_="" ma:_="" ma:contentTypeName="BII Document" ma:contentTypeID="0x0101000ABE5BDCD31A9B409314102C7009B25C0057B3E06E684EEF4C9DDDD7564E8A78C8" ma:contentTypeVersion="545" ma:contentTypeDescription="" ma:contentTypeScope="" ma:versionID="4d18a4e475c61e50974193e7fabf5a5b">
  <xsd:schema xmlns:xsd="http://www.w3.org/2001/XMLSchema" xmlns:xs="http://www.w3.org/2001/XMLSchema" xmlns:p="http://schemas.microsoft.com/office/2006/metadata/properties" xmlns:ns2="870cb497-4044-4cf2-90cc-f4ae0dbc3665" targetNamespace="http://schemas.microsoft.com/office/2006/metadata/properties" ma:root="true" ma:fieldsID="c5eecf8ed59e81c5afa033aa79f6fd0e" ns2:_="">
    <xsd:import namespace="870cb497-4044-4cf2-90cc-f4ae0dbc3665"/>
    <xsd:element name="properties">
      <xsd:complexType>
        <xsd:sequence>
          <xsd:element name="documentManagement">
            <xsd:complexType>
              <xsd:all>
                <xsd:element ref="ns2:m84d7c7f63cb451b899bccc83df50b61" minOccurs="0"/>
                <xsd:element ref="ns2:TaxCatchAll" minOccurs="0"/>
                <xsd:element ref="ns2:TaxCatchAllLabel" minOccurs="0"/>
                <xsd:element ref="ns2:e60208c032404629b4d3226b631336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m84d7c7f63cb451b899bccc83df50b61" ma:index="8" nillable="true" ma:taxonomy="true" ma:internalName="m84d7c7f63cb451b899bccc83df50b61" ma:taxonomyFieldName="CDCDocumentType" ma:displayName="Document Typ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e60208c032404629b4d3226b63133635" ma:index="12" nillable="true" ma:taxonomy="true" ma:internalName="e60208c032404629b4d3226b63133635" ma:taxonomyFieldName="CDCRelateTo" ma:displayName="Relates To"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EA89C-3B99-41DF-B518-6E93FEA289AB}">
  <ds:schemaRefs>
    <ds:schemaRef ds:uri="Microsoft.SharePoint.Taxonomy.ContentTypeSync"/>
  </ds:schemaRefs>
</ds:datastoreItem>
</file>

<file path=customXml/itemProps2.xml><?xml version="1.0" encoding="utf-8"?>
<ds:datastoreItem xmlns:ds="http://schemas.openxmlformats.org/officeDocument/2006/customXml" ds:itemID="{A46A0F47-38F0-4DCA-9DDD-A4F5FAFE4625}">
  <ds:schemaRefs>
    <ds:schemaRef ds:uri="http://schemas.microsoft.com/sharepoint/v3/contenttype/forms"/>
  </ds:schemaRefs>
</ds:datastoreItem>
</file>

<file path=customXml/itemProps3.xml><?xml version="1.0" encoding="utf-8"?>
<ds:datastoreItem xmlns:ds="http://schemas.openxmlformats.org/officeDocument/2006/customXml" ds:itemID="{6D7C6B11-2E18-477C-93B8-7E5AC1E268E7}">
  <ds:schemaRefs>
    <ds:schemaRef ds:uri="http://schemas.microsoft.com/office/2006/metadata/properties"/>
    <ds:schemaRef ds:uri="http://schemas.microsoft.com/office/infopath/2007/PartnerControls"/>
    <ds:schemaRef ds:uri="870cb497-4044-4cf2-90cc-f4ae0dbc3665"/>
  </ds:schemaRefs>
</ds:datastoreItem>
</file>

<file path=customXml/itemProps4.xml><?xml version="1.0" encoding="utf-8"?>
<ds:datastoreItem xmlns:ds="http://schemas.openxmlformats.org/officeDocument/2006/customXml" ds:itemID="{5E2DD035-2CAF-474E-AA72-3EB369390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cb497-4044-4cf2-90cc-f4ae0dbc3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BII%20Document</Template>
  <TotalTime>14</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Alan Noamesi</dc:creator>
  <cp:keywords/>
  <dc:description/>
  <cp:lastModifiedBy>Alan Noamesi</cp:lastModifiedBy>
  <cp:revision>8</cp:revision>
  <dcterms:created xsi:type="dcterms:W3CDTF">2024-01-28T21:09:00Z</dcterms:created>
  <dcterms:modified xsi:type="dcterms:W3CDTF">2024-02-15T10:43:00Z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0x0101000ABE5BDCD31A9B409314102C7009B25C0057B3E06E684EEF4C9DDDD7564E8A78C8</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ies>
</file>