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A33B" w14:textId="77777777" w:rsidR="007C3438" w:rsidRPr="00797AA4" w:rsidRDefault="007C3438" w:rsidP="007C3438">
      <w:pPr>
        <w:pStyle w:val="Heading1"/>
      </w:pPr>
      <w:r w:rsidRPr="00797AA4">
        <w:t>DRAFT: Labour standards for third-party contractors</w:t>
      </w:r>
    </w:p>
    <w:p w14:paraId="6D2AECB1" w14:textId="77777777" w:rsidR="007C3438" w:rsidRDefault="007C3438" w:rsidP="007C3438">
      <w:pPr>
        <w:pStyle w:val="Heading2"/>
      </w:pPr>
      <w:r>
        <w:t>How to use this template</w:t>
      </w:r>
    </w:p>
    <w:p w14:paraId="22C72F79" w14:textId="77777777" w:rsidR="007C3438" w:rsidRDefault="007C3438" w:rsidP="007C3438">
      <w:r>
        <w:t xml:space="preserve">Companies may engage workers through third parties to perform a variety of services, including cleaning, security, </w:t>
      </w:r>
      <w:proofErr w:type="gramStart"/>
      <w:r>
        <w:t>maintenance</w:t>
      </w:r>
      <w:proofErr w:type="gramEnd"/>
      <w:r>
        <w:t xml:space="preserve"> or IT services, inter alia. Investor standards require organisations to ensure that third-party contractors manage their workforce in a manner that is consistent with </w:t>
      </w:r>
      <w:r w:rsidRPr="0003427F">
        <w:t>IFC Performance Standard 2 (PS2)</w:t>
      </w:r>
      <w:r>
        <w:t xml:space="preserve"> on labour and working conditions</w:t>
      </w:r>
      <w:r w:rsidRPr="0003427F">
        <w:t>.</w:t>
      </w:r>
    </w:p>
    <w:p w14:paraId="24ABA957" w14:textId="77777777" w:rsidR="007C3438" w:rsidRDefault="007C3438" w:rsidP="007C3438"/>
    <w:tbl>
      <w:tblPr>
        <w:tblStyle w:val="TableGrid"/>
        <w:tblW w:w="0" w:type="auto"/>
        <w:tblLook w:val="04A0" w:firstRow="1" w:lastRow="0" w:firstColumn="1" w:lastColumn="0" w:noHBand="0" w:noVBand="1"/>
      </w:tblPr>
      <w:tblGrid>
        <w:gridCol w:w="9060"/>
      </w:tblGrid>
      <w:tr w:rsidR="007C3438" w:rsidRPr="00D31196" w14:paraId="79C5D0CC" w14:textId="77777777" w:rsidTr="00D31196">
        <w:trPr>
          <w:trHeight w:val="280"/>
        </w:trPr>
        <w:tc>
          <w:tcPr>
            <w:tcW w:w="9060" w:type="dxa"/>
          </w:tcPr>
          <w:p w14:paraId="4E750175" w14:textId="77777777" w:rsidR="007C3438" w:rsidRPr="00D31196" w:rsidRDefault="007C3438" w:rsidP="00B80963">
            <w:pPr>
              <w:pStyle w:val="Tabletitle"/>
              <w:rPr>
                <w:b/>
                <w:bCs/>
                <w:color w:val="auto"/>
                <w:sz w:val="22"/>
                <w:szCs w:val="28"/>
              </w:rPr>
            </w:pPr>
            <w:r w:rsidRPr="00D31196">
              <w:rPr>
                <w:b/>
                <w:bCs/>
                <w:color w:val="auto"/>
                <w:sz w:val="22"/>
                <w:szCs w:val="28"/>
              </w:rPr>
              <w:t>IFC Performance Standard 2 on HR policies and procedures (PS 2.24 - 2.26)</w:t>
            </w:r>
          </w:p>
        </w:tc>
      </w:tr>
      <w:tr w:rsidR="007C3438" w:rsidRPr="00D31196" w14:paraId="50D5F332" w14:textId="77777777" w:rsidTr="00D31196">
        <w:tc>
          <w:tcPr>
            <w:tcW w:w="9060" w:type="dxa"/>
          </w:tcPr>
          <w:p w14:paraId="34E82682" w14:textId="77777777" w:rsidR="007C3438" w:rsidRPr="00D31196" w:rsidRDefault="007C3438" w:rsidP="00B80963">
            <w:pPr>
              <w:pStyle w:val="Tabletext"/>
              <w:rPr>
                <w:color w:val="auto"/>
                <w:sz w:val="22"/>
                <w:szCs w:val="28"/>
              </w:rPr>
            </w:pPr>
            <w:r w:rsidRPr="00D31196">
              <w:rPr>
                <w:color w:val="auto"/>
                <w:sz w:val="22"/>
                <w:szCs w:val="28"/>
              </w:rPr>
              <w:t xml:space="preserve">With respect to contracted workers, the client will take commercially reasonable efforts to ascertain that the third parties who engage these workers are reputable and legitimate enterprises and have an appropriate ESMS that will allow them to operate in a manner consistent with the requirements of this Performance Standard, except for paragraphs 18–19, and 27–29.  </w:t>
            </w:r>
          </w:p>
          <w:p w14:paraId="491A2191" w14:textId="77777777" w:rsidR="007C3438" w:rsidRPr="00D31196" w:rsidRDefault="007C3438" w:rsidP="00B80963">
            <w:pPr>
              <w:pStyle w:val="Tabletext"/>
              <w:rPr>
                <w:color w:val="auto"/>
                <w:sz w:val="22"/>
                <w:szCs w:val="28"/>
              </w:rPr>
            </w:pPr>
          </w:p>
          <w:p w14:paraId="0A869770" w14:textId="77777777" w:rsidR="007C3438" w:rsidRPr="00D31196" w:rsidRDefault="007C3438" w:rsidP="00B80963">
            <w:pPr>
              <w:pStyle w:val="Tabletext"/>
              <w:rPr>
                <w:color w:val="auto"/>
                <w:sz w:val="22"/>
                <w:szCs w:val="28"/>
              </w:rPr>
            </w:pPr>
            <w:r w:rsidRPr="00D31196">
              <w:rPr>
                <w:color w:val="auto"/>
                <w:sz w:val="22"/>
                <w:szCs w:val="28"/>
              </w:rPr>
              <w:t xml:space="preserve">The client will establish policies and procedures for managing and monitoring the performance of such third-party employers in relation to the requirements of this Performance Standard. In addition, the client will use commercially reasonable efforts to incorporate these requirements in contractual agreements with such third-party employers.   </w:t>
            </w:r>
          </w:p>
          <w:p w14:paraId="686C5C68" w14:textId="77777777" w:rsidR="007C3438" w:rsidRPr="00D31196" w:rsidRDefault="007C3438" w:rsidP="00B80963">
            <w:pPr>
              <w:pStyle w:val="Tabletext"/>
              <w:rPr>
                <w:color w:val="auto"/>
                <w:sz w:val="22"/>
                <w:szCs w:val="28"/>
              </w:rPr>
            </w:pPr>
          </w:p>
          <w:p w14:paraId="2021EEE1" w14:textId="77777777" w:rsidR="007C3438" w:rsidRPr="00D31196" w:rsidRDefault="007C3438" w:rsidP="00B80963">
            <w:pPr>
              <w:pStyle w:val="Tabletext"/>
              <w:rPr>
                <w:b/>
                <w:bCs/>
              </w:rPr>
            </w:pPr>
            <w:r w:rsidRPr="00D31196">
              <w:rPr>
                <w:color w:val="auto"/>
                <w:sz w:val="22"/>
                <w:szCs w:val="28"/>
              </w:rPr>
              <w:t>The client will ensure that contracted workers, covered in paragraphs 24–25 of this Performance Standard, have access to a grievance mechanism. In cases where the third party is not able to provide a grievance mechanism the client will extend its own grievance mechanism to serve workers engaged by the third party.</w:t>
            </w:r>
            <w:r w:rsidRPr="00D31196">
              <w:rPr>
                <w:b/>
                <w:bCs/>
                <w:color w:val="auto"/>
                <w:sz w:val="22"/>
                <w:szCs w:val="28"/>
              </w:rPr>
              <w:t xml:space="preserve">  </w:t>
            </w:r>
          </w:p>
        </w:tc>
      </w:tr>
    </w:tbl>
    <w:p w14:paraId="3ADFAD9D" w14:textId="77777777" w:rsidR="007C3438" w:rsidRDefault="007C3438" w:rsidP="007C3438"/>
    <w:p w14:paraId="321441D1" w14:textId="77777777" w:rsidR="007C3438" w:rsidRDefault="007C3438" w:rsidP="007C3438">
      <w:r>
        <w:t xml:space="preserve">Prior to selecting third-party contractors, efforts should be made to ensure that selection criteria </w:t>
      </w:r>
      <w:proofErr w:type="gramStart"/>
      <w:r>
        <w:t>allows</w:t>
      </w:r>
      <w:proofErr w:type="gramEnd"/>
      <w:r>
        <w:t xml:space="preserve"> for an adequate assessment of a contractor’s ability to meet investor standards. During the process of requesting and evaluating bids or tenders, companies should make efforts to assess:</w:t>
      </w:r>
    </w:p>
    <w:p w14:paraId="65C7717C" w14:textId="77777777" w:rsidR="007C3438" w:rsidRDefault="007C3438" w:rsidP="007C3438"/>
    <w:p w14:paraId="4E2DCA56" w14:textId="77777777" w:rsidR="007C3438" w:rsidRDefault="007C3438" w:rsidP="007C3438">
      <w:pPr>
        <w:pStyle w:val="ListBullet"/>
        <w:tabs>
          <w:tab w:val="clear" w:pos="360"/>
        </w:tabs>
        <w:autoSpaceDN/>
        <w:spacing w:after="120" w:line="260" w:lineRule="atLeast"/>
        <w:ind w:left="794" w:hanging="227"/>
        <w:contextualSpacing w:val="0"/>
        <w:textAlignment w:val="auto"/>
      </w:pPr>
      <w:r>
        <w:t>Past performance of contractors, including any labour-related allegations, non-</w:t>
      </w:r>
      <w:proofErr w:type="gramStart"/>
      <w:r>
        <w:t>compliances</w:t>
      </w:r>
      <w:proofErr w:type="gramEnd"/>
      <w:r>
        <w:t xml:space="preserve"> or adverse administrative decisions.</w:t>
      </w:r>
    </w:p>
    <w:p w14:paraId="4DB83629" w14:textId="77777777" w:rsidR="007C3438" w:rsidRDefault="007C3438" w:rsidP="007C3438">
      <w:pPr>
        <w:pStyle w:val="ListBullet"/>
        <w:tabs>
          <w:tab w:val="clear" w:pos="360"/>
        </w:tabs>
        <w:autoSpaceDN/>
        <w:spacing w:after="120" w:line="260" w:lineRule="atLeast"/>
        <w:ind w:left="794" w:hanging="227"/>
        <w:contextualSpacing w:val="0"/>
        <w:textAlignment w:val="auto"/>
      </w:pPr>
      <w:r>
        <w:t xml:space="preserve">The robustness of human resources policies, procedures, </w:t>
      </w:r>
      <w:proofErr w:type="gramStart"/>
      <w:r>
        <w:t>systems</w:t>
      </w:r>
      <w:proofErr w:type="gramEnd"/>
      <w:r>
        <w:t xml:space="preserve"> and practices. </w:t>
      </w:r>
    </w:p>
    <w:p w14:paraId="2F029278" w14:textId="77777777" w:rsidR="007C3438" w:rsidRPr="006468DE" w:rsidRDefault="007C3438" w:rsidP="007C3438">
      <w:pPr>
        <w:pStyle w:val="ListBullet"/>
        <w:tabs>
          <w:tab w:val="clear" w:pos="360"/>
        </w:tabs>
        <w:autoSpaceDN/>
        <w:spacing w:after="120" w:line="260" w:lineRule="atLeast"/>
        <w:ind w:left="794" w:hanging="227"/>
        <w:contextualSpacing w:val="0"/>
        <w:textAlignment w:val="auto"/>
      </w:pPr>
      <w:r>
        <w:t xml:space="preserve">Evidence that human resources practices are compliant with national laws, including payment of social security and mandatory insurance contributions, where relevant. </w:t>
      </w:r>
    </w:p>
    <w:p w14:paraId="10B9DBB1" w14:textId="0021899F" w:rsidR="007C3438" w:rsidRDefault="007C3438" w:rsidP="007C3438">
      <w:r>
        <w:t xml:space="preserve">Once selected, the most common ways to ensure that third-party contractors comply with investor standards is to integrate these standards into agreements or other contractual documentation. You should ensure that the third-party contractor understands, </w:t>
      </w:r>
      <w:proofErr w:type="gramStart"/>
      <w:r>
        <w:t>signs</w:t>
      </w:r>
      <w:proofErr w:type="gramEnd"/>
      <w:r>
        <w:t xml:space="preserve"> and abides by these standards. To ensure that third-party contractors comply, it may be necessary to monitor, audit and / or supervise the labour performance of these third parties. </w:t>
      </w:r>
    </w:p>
    <w:p w14:paraId="1A2E5FE5" w14:textId="77777777" w:rsidR="007C3438" w:rsidRDefault="007C3438" w:rsidP="007C3438"/>
    <w:p w14:paraId="452DBD76" w14:textId="2F599177" w:rsidR="007C3438" w:rsidRDefault="007C3438" w:rsidP="007C3438">
      <w:r>
        <w:lastRenderedPageBreak/>
        <w:t xml:space="preserve">This template is designed to assist your organisation by providing a template labour standard which can be incorporated into agreements with third-party contractors. It can be used as a basis for a standard, but it should not limit </w:t>
      </w:r>
      <w:r w:rsidRPr="00F6770E">
        <w:t>your organisation from</w:t>
      </w:r>
      <w:r>
        <w:t xml:space="preserve"> adopting a more detailed standard with a greater scope which aligns with your organisation’s activities and ambitions. </w:t>
      </w:r>
    </w:p>
    <w:p w14:paraId="5C87450A" w14:textId="77777777" w:rsidR="007C3438" w:rsidRDefault="007C3438" w:rsidP="007C3438"/>
    <w:tbl>
      <w:tblPr>
        <w:tblStyle w:val="TableGrid"/>
        <w:tblW w:w="0" w:type="auto"/>
        <w:tblLook w:val="04A0" w:firstRow="1" w:lastRow="0" w:firstColumn="1" w:lastColumn="0" w:noHBand="0" w:noVBand="1"/>
      </w:tblPr>
      <w:tblGrid>
        <w:gridCol w:w="9060"/>
      </w:tblGrid>
      <w:tr w:rsidR="007C3438" w14:paraId="17F2A6A2" w14:textId="77777777" w:rsidTr="00D31196">
        <w:tc>
          <w:tcPr>
            <w:tcW w:w="9060" w:type="dxa"/>
          </w:tcPr>
          <w:p w14:paraId="06CA3F7F" w14:textId="77777777" w:rsidR="007C3438" w:rsidRDefault="007C3438" w:rsidP="00B80963">
            <w:pPr>
              <w:pStyle w:val="Tabletitle"/>
            </w:pPr>
            <w:r w:rsidRPr="00C15218">
              <w:rPr>
                <w:b/>
                <w:bCs/>
                <w:color w:val="auto"/>
                <w:sz w:val="22"/>
                <w:szCs w:val="28"/>
              </w:rPr>
              <w:t>Useful definitions</w:t>
            </w:r>
          </w:p>
        </w:tc>
      </w:tr>
      <w:tr w:rsidR="007C3438" w14:paraId="6A92FC5B" w14:textId="77777777" w:rsidTr="00D31196">
        <w:tc>
          <w:tcPr>
            <w:tcW w:w="9060" w:type="dxa"/>
          </w:tcPr>
          <w:p w14:paraId="52EF50DE" w14:textId="77777777" w:rsidR="007C3438" w:rsidRPr="00C15218" w:rsidRDefault="007C3438" w:rsidP="007C3438">
            <w:pPr>
              <w:pStyle w:val="Tabletext"/>
              <w:numPr>
                <w:ilvl w:val="0"/>
                <w:numId w:val="28"/>
              </w:numPr>
              <w:rPr>
                <w:color w:val="auto"/>
                <w:sz w:val="22"/>
                <w:szCs w:val="28"/>
              </w:rPr>
            </w:pPr>
            <w:r w:rsidRPr="00C15218">
              <w:rPr>
                <w:color w:val="auto"/>
                <w:sz w:val="22"/>
                <w:szCs w:val="28"/>
              </w:rPr>
              <w:t xml:space="preserve">Third-party contractors: Contractors (including brokers, </w:t>
            </w:r>
            <w:proofErr w:type="gramStart"/>
            <w:r w:rsidRPr="00C15218">
              <w:rPr>
                <w:color w:val="auto"/>
                <w:sz w:val="22"/>
                <w:szCs w:val="28"/>
              </w:rPr>
              <w:t>agents</w:t>
            </w:r>
            <w:proofErr w:type="gramEnd"/>
            <w:r w:rsidRPr="00C15218">
              <w:rPr>
                <w:color w:val="auto"/>
                <w:sz w:val="22"/>
                <w:szCs w:val="28"/>
              </w:rPr>
              <w:t xml:space="preserve"> and other intermediaries) who provide services directly related to an organisation’s core business activities for a substantial duration. “Substantial duration” should be understood to mean employment other than on a casual or intermittent basis.</w:t>
            </w:r>
          </w:p>
          <w:p w14:paraId="41FE4172" w14:textId="77777777" w:rsidR="007C3438" w:rsidRPr="00C15218" w:rsidRDefault="007C3438" w:rsidP="007C3438">
            <w:pPr>
              <w:pStyle w:val="Tabletext"/>
              <w:numPr>
                <w:ilvl w:val="0"/>
                <w:numId w:val="28"/>
              </w:numPr>
              <w:rPr>
                <w:color w:val="auto"/>
                <w:sz w:val="22"/>
                <w:szCs w:val="28"/>
              </w:rPr>
            </w:pPr>
            <w:r w:rsidRPr="00C15218">
              <w:rPr>
                <w:color w:val="auto"/>
                <w:sz w:val="22"/>
                <w:szCs w:val="28"/>
              </w:rPr>
              <w:t>Contract workers: Workers engaged by third-party contractors (see above).</w:t>
            </w:r>
          </w:p>
          <w:p w14:paraId="5221825D" w14:textId="77777777" w:rsidR="007C3438" w:rsidRPr="00077CB6" w:rsidRDefault="007C3438" w:rsidP="00B80963">
            <w:pPr>
              <w:pStyle w:val="Tabletext"/>
            </w:pPr>
          </w:p>
        </w:tc>
      </w:tr>
    </w:tbl>
    <w:p w14:paraId="23E80F58" w14:textId="77777777" w:rsidR="007C3438" w:rsidRDefault="007C3438" w:rsidP="007C3438"/>
    <w:p w14:paraId="18A1661B" w14:textId="77777777" w:rsidR="007C3438" w:rsidRDefault="007C3438" w:rsidP="007C3438">
      <w:pPr>
        <w:spacing w:after="160" w:line="259" w:lineRule="auto"/>
      </w:pPr>
      <w:r>
        <w:br w:type="page"/>
      </w:r>
    </w:p>
    <w:p w14:paraId="02D6EA10" w14:textId="77777777" w:rsidR="007C3438" w:rsidRPr="006D295C" w:rsidRDefault="007C3438" w:rsidP="007C3438">
      <w:pPr>
        <w:pStyle w:val="Heading1"/>
      </w:pPr>
      <w:r>
        <w:lastRenderedPageBreak/>
        <w:t>Template labour standard applicable to third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C3438" w:rsidRPr="002D0A96" w14:paraId="26207636" w14:textId="77777777" w:rsidTr="002D0A96">
        <w:tc>
          <w:tcPr>
            <w:tcW w:w="9060" w:type="dxa"/>
          </w:tcPr>
          <w:p w14:paraId="09DE0989" w14:textId="77777777" w:rsidR="007C3438" w:rsidRPr="002D0A96" w:rsidRDefault="007C3438" w:rsidP="00B80963">
            <w:pPr>
              <w:pStyle w:val="Tabletitle"/>
              <w:rPr>
                <w:b/>
                <w:bCs/>
                <w:sz w:val="24"/>
                <w:szCs w:val="32"/>
              </w:rPr>
            </w:pPr>
            <w:r w:rsidRPr="002D0A96">
              <w:rPr>
                <w:b/>
                <w:bCs/>
                <w:sz w:val="24"/>
                <w:szCs w:val="32"/>
              </w:rPr>
              <w:t>1 Introduction</w:t>
            </w:r>
          </w:p>
        </w:tc>
      </w:tr>
    </w:tbl>
    <w:p w14:paraId="4663AAE2" w14:textId="77777777" w:rsidR="007C3438" w:rsidRPr="002D0A96" w:rsidRDefault="007C3438" w:rsidP="007C3438">
      <w:pPr>
        <w:pStyle w:val="Heading3"/>
      </w:pPr>
    </w:p>
    <w:p w14:paraId="789F704F" w14:textId="77777777" w:rsidR="007C3438" w:rsidRDefault="007C3438" w:rsidP="007C3438">
      <w:pPr>
        <w:pStyle w:val="Heading3"/>
      </w:pPr>
      <w:r>
        <w:t>Scope of application</w:t>
      </w:r>
    </w:p>
    <w:p w14:paraId="0DB98E54" w14:textId="03978404" w:rsidR="007C3438" w:rsidRDefault="007C3438" w:rsidP="007C3438">
      <w:r>
        <w:t xml:space="preserve">The provisions of this Standard outline </w:t>
      </w:r>
      <w:bookmarkStart w:id="0" w:name="_Hlk137464431"/>
      <w:r>
        <w:t>[</w:t>
      </w:r>
      <w:r w:rsidRPr="004224D5">
        <w:rPr>
          <w:highlight w:val="yellow"/>
        </w:rPr>
        <w:t>ORGANISATION’S</w:t>
      </w:r>
      <w:r>
        <w:t xml:space="preserve">] </w:t>
      </w:r>
      <w:bookmarkEnd w:id="0"/>
      <w:r>
        <w:t xml:space="preserve">expectations for contractors with whom we engage. We expect that these principles apply to your workforce as well as workers you (sub) contract. </w:t>
      </w:r>
    </w:p>
    <w:p w14:paraId="6B47737E" w14:textId="77777777" w:rsidR="007C3438" w:rsidRPr="00312F86" w:rsidRDefault="007C3438" w:rsidP="007C34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C3438" w14:paraId="6586D832" w14:textId="77777777" w:rsidTr="00E64D63">
        <w:tc>
          <w:tcPr>
            <w:tcW w:w="9060" w:type="dxa"/>
          </w:tcPr>
          <w:p w14:paraId="1D8A8116" w14:textId="77777777" w:rsidR="007C3438" w:rsidRPr="00FC1986" w:rsidRDefault="007C3438" w:rsidP="00B80963">
            <w:pPr>
              <w:pStyle w:val="Tabletitle"/>
              <w:rPr>
                <w:b/>
                <w:bCs/>
                <w:sz w:val="24"/>
                <w:szCs w:val="32"/>
              </w:rPr>
            </w:pPr>
            <w:r w:rsidRPr="00FC1986">
              <w:rPr>
                <w:b/>
                <w:bCs/>
                <w:sz w:val="24"/>
                <w:szCs w:val="32"/>
              </w:rPr>
              <w:t>2 Provisions</w:t>
            </w:r>
          </w:p>
        </w:tc>
      </w:tr>
    </w:tbl>
    <w:p w14:paraId="0120E0A4" w14:textId="77777777" w:rsidR="007C3438" w:rsidRDefault="007C3438" w:rsidP="007C3438">
      <w:pPr>
        <w:pStyle w:val="Heading3"/>
      </w:pPr>
    </w:p>
    <w:p w14:paraId="6556AB53" w14:textId="77777777" w:rsidR="007C3438" w:rsidRPr="00C94E92" w:rsidRDefault="007C3438" w:rsidP="007C3438">
      <w:pPr>
        <w:pStyle w:val="Heading3"/>
      </w:pPr>
      <w:r>
        <w:t>Labour-related requirements</w:t>
      </w:r>
    </w:p>
    <w:p w14:paraId="48F76E63" w14:textId="77777777" w:rsidR="007C3438" w:rsidRDefault="007C3438" w:rsidP="007C3438">
      <w:bookmarkStart w:id="1" w:name="_Hlk137822136"/>
      <w:r w:rsidRPr="00B9165F">
        <w:rPr>
          <w:highlight w:val="yellow"/>
        </w:rPr>
        <w:t>[</w:t>
      </w:r>
      <w:r>
        <w:rPr>
          <w:highlight w:val="yellow"/>
        </w:rPr>
        <w:t>ORGANISATION</w:t>
      </w:r>
      <w:r w:rsidRPr="00B9165F">
        <w:rPr>
          <w:highlight w:val="yellow"/>
        </w:rPr>
        <w:t>]</w:t>
      </w:r>
      <w:r>
        <w:t xml:space="preserve"> </w:t>
      </w:r>
      <w:bookmarkEnd w:id="1"/>
      <w:r>
        <w:t xml:space="preserve">expects contractors to comply with national law and the requirements of the International Finance Corporation’s (IFC) Performance Standard 2 (PS2) on labour and working conditions. Where national law is silent or affords lesser protection than IFC PS2, </w:t>
      </w:r>
      <w:r w:rsidRPr="004224D5">
        <w:t>the standards of IFC PS2 should apply.</w:t>
      </w:r>
      <w:r>
        <w:rPr>
          <w:highlight w:val="yellow"/>
        </w:rPr>
        <w:t xml:space="preserve">  </w:t>
      </w:r>
    </w:p>
    <w:p w14:paraId="697A138F" w14:textId="77777777" w:rsidR="007C3438" w:rsidRDefault="007C3438" w:rsidP="007C3438"/>
    <w:p w14:paraId="5752AC19" w14:textId="2295D787" w:rsidR="007C3438" w:rsidRDefault="007C3438" w:rsidP="007C3438">
      <w:r>
        <w:t>PS2 specifically prescribes minimum standards and the development of management systems in relation to:</w:t>
      </w:r>
    </w:p>
    <w:p w14:paraId="19A116A6" w14:textId="77777777" w:rsidR="007C3438" w:rsidRDefault="007C3438" w:rsidP="007C3438">
      <w:pPr>
        <w:pStyle w:val="ListParagraph"/>
        <w:numPr>
          <w:ilvl w:val="0"/>
          <w:numId w:val="29"/>
        </w:numPr>
        <w:autoSpaceDN/>
        <w:spacing w:after="260" w:line="260" w:lineRule="atLeast"/>
        <w:textAlignment w:val="auto"/>
      </w:pPr>
      <w:r>
        <w:t>Human Resources Policies and Procedures</w:t>
      </w:r>
    </w:p>
    <w:p w14:paraId="53EE906E" w14:textId="77777777" w:rsidR="007C3438" w:rsidRDefault="007C3438" w:rsidP="007C3438">
      <w:pPr>
        <w:pStyle w:val="ListParagraph"/>
        <w:numPr>
          <w:ilvl w:val="0"/>
          <w:numId w:val="29"/>
        </w:numPr>
        <w:autoSpaceDN/>
        <w:spacing w:after="260" w:line="260" w:lineRule="atLeast"/>
        <w:textAlignment w:val="auto"/>
      </w:pPr>
      <w:r>
        <w:t>Working Conditions and Terms of Employment</w:t>
      </w:r>
    </w:p>
    <w:p w14:paraId="0227B9A9" w14:textId="77777777" w:rsidR="007C3438" w:rsidRDefault="007C3438" w:rsidP="007C3438">
      <w:pPr>
        <w:pStyle w:val="ListParagraph"/>
        <w:numPr>
          <w:ilvl w:val="0"/>
          <w:numId w:val="29"/>
        </w:numPr>
        <w:autoSpaceDN/>
        <w:spacing w:after="260" w:line="260" w:lineRule="atLeast"/>
        <w:textAlignment w:val="auto"/>
      </w:pPr>
      <w:r>
        <w:t>Workers’ Organisations</w:t>
      </w:r>
    </w:p>
    <w:p w14:paraId="490A38DF" w14:textId="77777777" w:rsidR="007C3438" w:rsidRDefault="007C3438" w:rsidP="007C3438">
      <w:pPr>
        <w:pStyle w:val="ListParagraph"/>
        <w:numPr>
          <w:ilvl w:val="0"/>
          <w:numId w:val="29"/>
        </w:numPr>
        <w:autoSpaceDN/>
        <w:spacing w:after="260" w:line="260" w:lineRule="atLeast"/>
        <w:textAlignment w:val="auto"/>
      </w:pPr>
      <w:r>
        <w:t>Non-Discrimination and Equal Opportunity</w:t>
      </w:r>
    </w:p>
    <w:p w14:paraId="2834B0DC" w14:textId="77777777" w:rsidR="007C3438" w:rsidRDefault="007C3438" w:rsidP="007C3438">
      <w:pPr>
        <w:pStyle w:val="ListParagraph"/>
        <w:numPr>
          <w:ilvl w:val="0"/>
          <w:numId w:val="29"/>
        </w:numPr>
        <w:autoSpaceDN/>
        <w:spacing w:after="260" w:line="260" w:lineRule="atLeast"/>
        <w:textAlignment w:val="auto"/>
      </w:pPr>
      <w:r>
        <w:t>Grievance Mechanisms</w:t>
      </w:r>
    </w:p>
    <w:p w14:paraId="0871BD58" w14:textId="77777777" w:rsidR="007C3438" w:rsidRDefault="007C3438" w:rsidP="007C3438">
      <w:pPr>
        <w:pStyle w:val="ListParagraph"/>
        <w:numPr>
          <w:ilvl w:val="0"/>
          <w:numId w:val="29"/>
        </w:numPr>
        <w:autoSpaceDN/>
        <w:spacing w:after="260" w:line="260" w:lineRule="atLeast"/>
        <w:textAlignment w:val="auto"/>
      </w:pPr>
      <w:r>
        <w:t>Child Labour</w:t>
      </w:r>
    </w:p>
    <w:p w14:paraId="0E798F25" w14:textId="77777777" w:rsidR="007C3438" w:rsidRDefault="007C3438" w:rsidP="007C3438">
      <w:pPr>
        <w:pStyle w:val="ListParagraph"/>
        <w:numPr>
          <w:ilvl w:val="0"/>
          <w:numId w:val="29"/>
        </w:numPr>
        <w:autoSpaceDN/>
        <w:spacing w:after="260" w:line="260" w:lineRule="atLeast"/>
        <w:textAlignment w:val="auto"/>
      </w:pPr>
      <w:r>
        <w:t>Forced Labour</w:t>
      </w:r>
    </w:p>
    <w:p w14:paraId="68753E6E" w14:textId="77777777" w:rsidR="007C3438" w:rsidRDefault="007C3438" w:rsidP="007C3438">
      <w:pPr>
        <w:pStyle w:val="ListParagraph"/>
        <w:numPr>
          <w:ilvl w:val="0"/>
          <w:numId w:val="29"/>
        </w:numPr>
        <w:autoSpaceDN/>
        <w:spacing w:after="260" w:line="260" w:lineRule="atLeast"/>
        <w:textAlignment w:val="auto"/>
      </w:pPr>
      <w:r>
        <w:t>Occupational Health and Safety</w:t>
      </w:r>
    </w:p>
    <w:p w14:paraId="74E8E071" w14:textId="77777777" w:rsidR="007C3438" w:rsidRDefault="007C3438" w:rsidP="007C3438">
      <w:pPr>
        <w:pStyle w:val="Heading3"/>
      </w:pPr>
      <w:r>
        <w:t>Monitoring and reporting</w:t>
      </w:r>
    </w:p>
    <w:p w14:paraId="24F75121" w14:textId="77777777" w:rsidR="007C3438" w:rsidRDefault="007C3438" w:rsidP="007C3438">
      <w:r w:rsidRPr="00B9165F">
        <w:rPr>
          <w:highlight w:val="yellow"/>
        </w:rPr>
        <w:t>[</w:t>
      </w:r>
      <w:r>
        <w:rPr>
          <w:highlight w:val="yellow"/>
        </w:rPr>
        <w:t>ORGANISATION</w:t>
      </w:r>
      <w:r w:rsidRPr="00B9165F">
        <w:rPr>
          <w:highlight w:val="yellow"/>
        </w:rPr>
        <w:t>]</w:t>
      </w:r>
      <w:r>
        <w:t xml:space="preserve"> has a right to audit or monitor a contractor’s labour and OHS practices, including reviewing and accessing relevant policies, procedures, documentation, KPIs and records. The contractor will grant [</w:t>
      </w:r>
      <w:r w:rsidRPr="004224D5">
        <w:rPr>
          <w:highlight w:val="yellow"/>
        </w:rPr>
        <w:t>ORGANI</w:t>
      </w:r>
      <w:r>
        <w:rPr>
          <w:highlight w:val="yellow"/>
        </w:rPr>
        <w:t>S</w:t>
      </w:r>
      <w:r w:rsidRPr="004224D5">
        <w:rPr>
          <w:highlight w:val="yellow"/>
        </w:rPr>
        <w:t>ATION</w:t>
      </w:r>
      <w:r>
        <w:t xml:space="preserve">] access to the workplace and / or site for this purpose, where requested. </w:t>
      </w:r>
    </w:p>
    <w:p w14:paraId="2BC3A4A6" w14:textId="77777777" w:rsidR="007C3438" w:rsidRDefault="007C3438" w:rsidP="007C3438"/>
    <w:p w14:paraId="3EF01F0D" w14:textId="0B4D33AA" w:rsidR="007C3438" w:rsidRDefault="007C3438" w:rsidP="007C3438">
      <w:r>
        <w:t>The contractor will duly notify [</w:t>
      </w:r>
      <w:r w:rsidRPr="004224D5">
        <w:rPr>
          <w:highlight w:val="yellow"/>
        </w:rPr>
        <w:t>ORGANI</w:t>
      </w:r>
      <w:r>
        <w:rPr>
          <w:highlight w:val="yellow"/>
        </w:rPr>
        <w:t>S</w:t>
      </w:r>
      <w:r w:rsidRPr="004224D5">
        <w:rPr>
          <w:highlight w:val="yellow"/>
        </w:rPr>
        <w:t>ATION</w:t>
      </w:r>
      <w:r>
        <w:t xml:space="preserve">] of any significant labour-related events, including but not limited to accidents, fatalities, strikes, lockouts, retrenchments, labour-related enforcement actions / administrative penalties, identified cases of child labour or forced labour, and allegations of gender-based violence or harassment. </w:t>
      </w:r>
    </w:p>
    <w:p w14:paraId="1CE41B2E" w14:textId="77777777" w:rsidR="007C3438" w:rsidRDefault="007C3438" w:rsidP="007C3438">
      <w:pPr>
        <w:pStyle w:val="Heading3"/>
      </w:pPr>
      <w:r>
        <w:lastRenderedPageBreak/>
        <w:t xml:space="preserve">Grievance Mechanisms </w:t>
      </w:r>
    </w:p>
    <w:p w14:paraId="75F364F0" w14:textId="77777777" w:rsidR="007C3438" w:rsidRDefault="007C3438" w:rsidP="007C3438">
      <w:r>
        <w:t xml:space="preserve">As stated in IFC PS2, </w:t>
      </w:r>
      <w:r w:rsidRPr="00B9165F">
        <w:rPr>
          <w:highlight w:val="yellow"/>
        </w:rPr>
        <w:t>[</w:t>
      </w:r>
      <w:r>
        <w:rPr>
          <w:highlight w:val="yellow"/>
        </w:rPr>
        <w:t>ORGANISATION</w:t>
      </w:r>
      <w:r w:rsidRPr="00B9165F">
        <w:rPr>
          <w:highlight w:val="yellow"/>
        </w:rPr>
        <w:t>]</w:t>
      </w:r>
      <w:r>
        <w:t xml:space="preserve"> expects contractors to develop and implement a grievance mechanism that is accessible to the workforce, including female workers. At a minimum, this entails ensuring that:</w:t>
      </w:r>
    </w:p>
    <w:p w14:paraId="157431FE" w14:textId="77777777" w:rsidR="007C3438" w:rsidRDefault="007C3438" w:rsidP="007C3438">
      <w:pPr>
        <w:pStyle w:val="ListBullet"/>
        <w:tabs>
          <w:tab w:val="clear" w:pos="360"/>
        </w:tabs>
        <w:autoSpaceDN/>
        <w:spacing w:after="120" w:line="260" w:lineRule="atLeast"/>
        <w:ind w:left="794" w:hanging="227"/>
        <w:contextualSpacing w:val="0"/>
        <w:textAlignment w:val="auto"/>
      </w:pPr>
      <w:r>
        <w:t>Grievance policies and procedures are developed, available in writing, explained to the workforce, and implemented.</w:t>
      </w:r>
    </w:p>
    <w:p w14:paraId="25AE98D8" w14:textId="77777777" w:rsidR="007C3438" w:rsidRDefault="007C3438" w:rsidP="007C3438">
      <w:pPr>
        <w:pStyle w:val="ListBullet"/>
        <w:tabs>
          <w:tab w:val="clear" w:pos="360"/>
        </w:tabs>
        <w:autoSpaceDN/>
        <w:spacing w:after="120" w:line="260" w:lineRule="atLeast"/>
        <w:ind w:left="794" w:hanging="227"/>
        <w:contextualSpacing w:val="0"/>
        <w:textAlignment w:val="auto"/>
      </w:pPr>
      <w:r>
        <w:t>Specific individuals, roles or teams are assigned to grievance management.</w:t>
      </w:r>
    </w:p>
    <w:p w14:paraId="362A5975" w14:textId="77777777" w:rsidR="007C3438" w:rsidRDefault="007C3438" w:rsidP="007C3438">
      <w:pPr>
        <w:pStyle w:val="ListBullet"/>
        <w:tabs>
          <w:tab w:val="clear" w:pos="360"/>
        </w:tabs>
        <w:autoSpaceDN/>
        <w:spacing w:after="120" w:line="260" w:lineRule="atLeast"/>
        <w:ind w:left="794" w:hanging="227"/>
        <w:contextualSpacing w:val="0"/>
        <w:textAlignment w:val="auto"/>
      </w:pPr>
      <w:r>
        <w:t xml:space="preserve">The management, processing and resolution of grievances is recorded.  </w:t>
      </w:r>
    </w:p>
    <w:p w14:paraId="11B69FD2" w14:textId="77777777" w:rsidR="007C3438" w:rsidRDefault="007C3438" w:rsidP="007C3438">
      <w:pPr>
        <w:pStyle w:val="Heading3"/>
      </w:pPr>
      <w:r>
        <w:t xml:space="preserve">Gender-based Violence and Harassment </w:t>
      </w:r>
    </w:p>
    <w:p w14:paraId="261DE540" w14:textId="77777777" w:rsidR="007C3438" w:rsidRDefault="007C3438" w:rsidP="007C3438">
      <w:r w:rsidRPr="00B809A8">
        <w:t>Gender-based violence and harassmen</w:t>
      </w:r>
      <w:r>
        <w:t>t (</w:t>
      </w:r>
      <w:r w:rsidRPr="00214A78">
        <w:t>GBVH</w:t>
      </w:r>
      <w:r>
        <w:t>)</w:t>
      </w:r>
      <w:r w:rsidRPr="00214A78">
        <w:t xml:space="preserve"> is an umbrella term that covers a range of behaviours, including sexual, physical, </w:t>
      </w:r>
      <w:proofErr w:type="gramStart"/>
      <w:r w:rsidRPr="00214A78">
        <w:t>psychological</w:t>
      </w:r>
      <w:proofErr w:type="gramEnd"/>
      <w:r w:rsidRPr="00214A78">
        <w:t xml:space="preserve"> and economic abuse, that is directed at people because of their sex or gender, or disproportionately affects people of a particular sex or gender. </w:t>
      </w:r>
    </w:p>
    <w:p w14:paraId="3A1B52BA" w14:textId="77777777" w:rsidR="007C3438" w:rsidRDefault="007C3438" w:rsidP="007C3438"/>
    <w:p w14:paraId="63F0974C" w14:textId="0B904E5F" w:rsidR="007C3438" w:rsidRDefault="007C3438" w:rsidP="007C3438">
      <w:r>
        <w:t xml:space="preserve">Consistent with IFC PS2, contractors commit to ensuring </w:t>
      </w:r>
      <w:r w:rsidRPr="00C2648D">
        <w:t xml:space="preserve">a safe and respectful work environment. </w:t>
      </w:r>
      <w:r>
        <w:t xml:space="preserve">GBVH is </w:t>
      </w:r>
      <w:r w:rsidRPr="00C2648D">
        <w:t>considered unacceptable and will not be tolerated under any circumstances.</w:t>
      </w:r>
      <w:r>
        <w:t xml:space="preserve"> Contractors should ensure that:</w:t>
      </w:r>
    </w:p>
    <w:p w14:paraId="1FE930A7" w14:textId="77777777" w:rsidR="007C3438" w:rsidRDefault="007C3438" w:rsidP="007C3438">
      <w:pPr>
        <w:pStyle w:val="ListBullet"/>
        <w:tabs>
          <w:tab w:val="clear" w:pos="360"/>
        </w:tabs>
        <w:autoSpaceDN/>
        <w:spacing w:after="120" w:line="260" w:lineRule="atLeast"/>
        <w:ind w:left="794" w:hanging="227"/>
        <w:contextualSpacing w:val="0"/>
        <w:textAlignment w:val="auto"/>
      </w:pPr>
      <w:r>
        <w:t>Policies and procedures aimed at preventing and addressing GBVH are developed, available in writing, explained to relevant workers and implemented.</w:t>
      </w:r>
    </w:p>
    <w:p w14:paraId="4FFC3BAD" w14:textId="77777777" w:rsidR="007C3438" w:rsidRDefault="007C3438" w:rsidP="007C3438">
      <w:pPr>
        <w:pStyle w:val="ListBullet"/>
        <w:tabs>
          <w:tab w:val="clear" w:pos="360"/>
        </w:tabs>
        <w:autoSpaceDN/>
        <w:spacing w:after="120" w:line="260" w:lineRule="atLeast"/>
        <w:ind w:left="794" w:hanging="227"/>
        <w:contextualSpacing w:val="0"/>
        <w:textAlignment w:val="auto"/>
      </w:pPr>
      <w:r>
        <w:t>Specific individuals, roles, or teams are responsible for overseeing and implementing the policy.</w:t>
      </w:r>
    </w:p>
    <w:p w14:paraId="44E6BF57" w14:textId="1462AB84" w:rsidR="007C3438" w:rsidRDefault="007C3438" w:rsidP="007C3438">
      <w:pPr>
        <w:pStyle w:val="ListBullet"/>
        <w:autoSpaceDN/>
        <w:spacing w:after="120" w:line="260" w:lineRule="atLeast"/>
        <w:ind w:left="794" w:hanging="227"/>
        <w:contextualSpacing w:val="0"/>
        <w:textAlignment w:val="auto"/>
      </w:pPr>
      <w:r>
        <w:t>Implementation is supported by appropriate training, awareness raising and effective grievance resolution (see section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C3438" w14:paraId="404C7640" w14:textId="77777777" w:rsidTr="00E64D63">
        <w:tc>
          <w:tcPr>
            <w:tcW w:w="9060" w:type="dxa"/>
          </w:tcPr>
          <w:p w14:paraId="634745C5" w14:textId="77777777" w:rsidR="007C3438" w:rsidRPr="00E64D63" w:rsidRDefault="007C3438" w:rsidP="00B80963">
            <w:pPr>
              <w:pStyle w:val="Tabletitle"/>
              <w:rPr>
                <w:b/>
                <w:bCs/>
                <w:sz w:val="24"/>
                <w:szCs w:val="32"/>
              </w:rPr>
            </w:pPr>
            <w:r w:rsidRPr="00E64D63">
              <w:rPr>
                <w:b/>
                <w:bCs/>
                <w:sz w:val="24"/>
                <w:szCs w:val="32"/>
              </w:rPr>
              <w:t>3 Compliance declaration</w:t>
            </w:r>
          </w:p>
        </w:tc>
      </w:tr>
    </w:tbl>
    <w:p w14:paraId="50614D5D" w14:textId="77777777" w:rsidR="007C3438" w:rsidRDefault="007C3438" w:rsidP="007C3438"/>
    <w:p w14:paraId="3FE1DA01" w14:textId="77777777" w:rsidR="007C3438" w:rsidRDefault="007C3438" w:rsidP="007C3438">
      <w:r>
        <w:t xml:space="preserve">We hereby confirm that we have read and understood the above </w:t>
      </w:r>
      <w:proofErr w:type="gramStart"/>
      <w:r>
        <w:t>Standard, and</w:t>
      </w:r>
      <w:proofErr w:type="gramEnd"/>
      <w:r>
        <w:t xml:space="preserve"> agree to fully comply with the principles set out in this Standard during the contract period.</w:t>
      </w:r>
    </w:p>
    <w:p w14:paraId="12E5BA11" w14:textId="77777777" w:rsidR="007C3438" w:rsidRDefault="007C3438" w:rsidP="007C3438"/>
    <w:p w14:paraId="56751D72" w14:textId="66B04220" w:rsidR="007C3438" w:rsidRDefault="007C3438" w:rsidP="007C3438">
      <w:r>
        <w:t xml:space="preserve">Where we fail to improve in observed areas of non-compliance set out under this Standard, we understand this may result in termination of our contract, and that we may be barred from future contracts, </w:t>
      </w:r>
      <w:proofErr w:type="gramStart"/>
      <w:r>
        <w:t>engagements</w:t>
      </w:r>
      <w:proofErr w:type="gramEnd"/>
      <w:r>
        <w:t xml:space="preserve"> or awards.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0"/>
        <w:gridCol w:w="3160"/>
      </w:tblGrid>
      <w:tr w:rsidR="007C3438" w:rsidRPr="001528CF" w14:paraId="54F90E73" w14:textId="77777777" w:rsidTr="00B80963">
        <w:trPr>
          <w:trHeight w:val="490"/>
        </w:trPr>
        <w:tc>
          <w:tcPr>
            <w:tcW w:w="3370" w:type="dxa"/>
          </w:tcPr>
          <w:p w14:paraId="65F78A62" w14:textId="77777777" w:rsidR="007C3438" w:rsidRPr="00E64D63" w:rsidRDefault="007C3438" w:rsidP="00B80963">
            <w:pPr>
              <w:rPr>
                <w:rStyle w:val="NormalBold"/>
                <w:rFonts w:asciiTheme="minorHAnsi" w:hAnsiTheme="minorHAnsi"/>
                <w:sz w:val="24"/>
                <w:szCs w:val="24"/>
              </w:rPr>
            </w:pPr>
            <w:r w:rsidRPr="00E64D63">
              <w:rPr>
                <w:rStyle w:val="NormalBold"/>
                <w:rFonts w:asciiTheme="minorHAnsi" w:hAnsiTheme="minorHAnsi"/>
                <w:sz w:val="24"/>
                <w:szCs w:val="24"/>
              </w:rPr>
              <w:t>Name:</w:t>
            </w:r>
          </w:p>
        </w:tc>
        <w:tc>
          <w:tcPr>
            <w:tcW w:w="3160" w:type="dxa"/>
          </w:tcPr>
          <w:p w14:paraId="6484C7FD" w14:textId="77777777" w:rsidR="007C3438" w:rsidRPr="001528CF" w:rsidRDefault="007C3438" w:rsidP="00B80963">
            <w:pPr>
              <w:rPr>
                <w:b/>
                <w:bCs/>
              </w:rPr>
            </w:pPr>
          </w:p>
        </w:tc>
      </w:tr>
      <w:tr w:rsidR="007C3438" w:rsidRPr="001528CF" w14:paraId="2D9F449E" w14:textId="77777777" w:rsidTr="00B80963">
        <w:trPr>
          <w:trHeight w:val="465"/>
        </w:trPr>
        <w:tc>
          <w:tcPr>
            <w:tcW w:w="3370" w:type="dxa"/>
          </w:tcPr>
          <w:p w14:paraId="71AC2DF0" w14:textId="77777777" w:rsidR="007C3438" w:rsidRPr="00E64D63" w:rsidRDefault="007C3438" w:rsidP="00B80963">
            <w:pPr>
              <w:rPr>
                <w:rStyle w:val="NormalBold"/>
                <w:rFonts w:asciiTheme="minorHAnsi" w:hAnsiTheme="minorHAnsi"/>
                <w:sz w:val="24"/>
                <w:szCs w:val="24"/>
              </w:rPr>
            </w:pPr>
            <w:r w:rsidRPr="00E64D63">
              <w:rPr>
                <w:rStyle w:val="NormalBold"/>
                <w:rFonts w:asciiTheme="minorHAnsi" w:hAnsiTheme="minorHAnsi"/>
                <w:sz w:val="24"/>
                <w:szCs w:val="24"/>
              </w:rPr>
              <w:t>Position:</w:t>
            </w:r>
          </w:p>
        </w:tc>
        <w:tc>
          <w:tcPr>
            <w:tcW w:w="3160" w:type="dxa"/>
          </w:tcPr>
          <w:p w14:paraId="756B3A0F" w14:textId="77777777" w:rsidR="007C3438" w:rsidRPr="001528CF" w:rsidRDefault="007C3438" w:rsidP="00B80963">
            <w:pPr>
              <w:rPr>
                <w:b/>
                <w:bCs/>
              </w:rPr>
            </w:pPr>
          </w:p>
        </w:tc>
      </w:tr>
      <w:tr w:rsidR="007C3438" w:rsidRPr="001528CF" w14:paraId="0321327A" w14:textId="77777777" w:rsidTr="00B80963">
        <w:trPr>
          <w:trHeight w:val="490"/>
        </w:trPr>
        <w:tc>
          <w:tcPr>
            <w:tcW w:w="3370" w:type="dxa"/>
          </w:tcPr>
          <w:p w14:paraId="52181BEB" w14:textId="77777777" w:rsidR="007C3438" w:rsidRPr="00E64D63" w:rsidRDefault="007C3438" w:rsidP="00B80963">
            <w:pPr>
              <w:rPr>
                <w:rStyle w:val="NormalBold"/>
                <w:rFonts w:asciiTheme="minorHAnsi" w:hAnsiTheme="minorHAnsi"/>
                <w:sz w:val="24"/>
                <w:szCs w:val="24"/>
              </w:rPr>
            </w:pPr>
            <w:r w:rsidRPr="00E64D63">
              <w:rPr>
                <w:rStyle w:val="NormalBold"/>
                <w:rFonts w:asciiTheme="minorHAnsi" w:hAnsiTheme="minorHAnsi"/>
                <w:sz w:val="24"/>
                <w:szCs w:val="24"/>
              </w:rPr>
              <w:t>Date:</w:t>
            </w:r>
          </w:p>
        </w:tc>
        <w:tc>
          <w:tcPr>
            <w:tcW w:w="3160" w:type="dxa"/>
          </w:tcPr>
          <w:p w14:paraId="01F3DAE5" w14:textId="77777777" w:rsidR="007C3438" w:rsidRPr="001528CF" w:rsidRDefault="007C3438" w:rsidP="00B80963">
            <w:pPr>
              <w:rPr>
                <w:b/>
                <w:bCs/>
              </w:rPr>
            </w:pPr>
          </w:p>
        </w:tc>
      </w:tr>
      <w:tr w:rsidR="007C3438" w:rsidRPr="001528CF" w14:paraId="363AA3E1" w14:textId="77777777" w:rsidTr="00B80963">
        <w:trPr>
          <w:trHeight w:val="465"/>
        </w:trPr>
        <w:tc>
          <w:tcPr>
            <w:tcW w:w="3370" w:type="dxa"/>
          </w:tcPr>
          <w:p w14:paraId="2B9A170A" w14:textId="77777777" w:rsidR="007C3438" w:rsidRPr="00E64D63" w:rsidRDefault="007C3438" w:rsidP="00B80963">
            <w:pPr>
              <w:rPr>
                <w:rStyle w:val="NormalBold"/>
                <w:rFonts w:asciiTheme="minorHAnsi" w:hAnsiTheme="minorHAnsi"/>
                <w:sz w:val="24"/>
                <w:szCs w:val="24"/>
              </w:rPr>
            </w:pPr>
            <w:r w:rsidRPr="00E64D63">
              <w:rPr>
                <w:rStyle w:val="NormalBold"/>
                <w:rFonts w:asciiTheme="minorHAnsi" w:hAnsiTheme="minorHAnsi"/>
                <w:sz w:val="24"/>
                <w:szCs w:val="24"/>
              </w:rPr>
              <w:t>Signature</w:t>
            </w:r>
          </w:p>
        </w:tc>
        <w:tc>
          <w:tcPr>
            <w:tcW w:w="3160" w:type="dxa"/>
          </w:tcPr>
          <w:p w14:paraId="5172A542" w14:textId="77777777" w:rsidR="007C3438" w:rsidRPr="001528CF" w:rsidRDefault="007C3438" w:rsidP="00B80963">
            <w:pPr>
              <w:rPr>
                <w:b/>
                <w:bCs/>
              </w:rPr>
            </w:pPr>
          </w:p>
        </w:tc>
      </w:tr>
    </w:tbl>
    <w:p w14:paraId="02ADAC7C" w14:textId="77777777" w:rsidR="007C3438" w:rsidRPr="008D10A2" w:rsidRDefault="007C3438" w:rsidP="007C3438"/>
    <w:sectPr w:rsidR="007C3438" w:rsidRPr="008D10A2" w:rsidSect="007C3438">
      <w:headerReference w:type="default" r:id="rId11"/>
      <w:footerReference w:type="default" r:id="rId12"/>
      <w:headerReference w:type="first" r:id="rId13"/>
      <w:footerReference w:type="first" r:id="rId14"/>
      <w:pgSz w:w="11906" w:h="16838"/>
      <w:pgMar w:top="1560" w:right="907" w:bottom="1702" w:left="907" w:header="567" w:footer="2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8F52" w14:textId="77777777" w:rsidR="00636A52" w:rsidRDefault="00636A52">
      <w:pPr>
        <w:spacing w:after="384"/>
      </w:pPr>
      <w:r>
        <w:separator/>
      </w:r>
    </w:p>
  </w:endnote>
  <w:endnote w:type="continuationSeparator" w:id="0">
    <w:p w14:paraId="02C6C6C8" w14:textId="77777777" w:rsidR="00636A52" w:rsidRDefault="00636A52">
      <w:pPr>
        <w:spacing w:after="384"/>
      </w:pPr>
      <w:r>
        <w:continuationSeparator/>
      </w:r>
    </w:p>
  </w:endnote>
  <w:endnote w:type="continuationNotice" w:id="1">
    <w:p w14:paraId="7520B5A1" w14:textId="77777777" w:rsidR="00636A52" w:rsidRDefault="00636A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rial Unicode MS">
    <w:altName w:val="Arial"/>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D3C1" w14:textId="77777777" w:rsidR="007C3438" w:rsidRDefault="007C3438" w:rsidP="007C3438">
    <w:pPr>
      <w:pStyle w:val="Footer"/>
      <w:spacing w:after="384"/>
      <w:contextualSpacing/>
      <w:rPr>
        <w:sz w:val="18"/>
        <w:szCs w:val="18"/>
      </w:rPr>
    </w:pPr>
    <w:r w:rsidRPr="00A67F1C">
      <w:rPr>
        <w:sz w:val="18"/>
        <w:szCs w:val="18"/>
      </w:rPr>
      <w:t xml:space="preserve">British International Investment </w:t>
    </w:r>
    <w:r>
      <w:rPr>
        <w:sz w:val="18"/>
        <w:szCs w:val="18"/>
      </w:rPr>
      <w:t>plc</w:t>
    </w:r>
    <w:r w:rsidRPr="00A67F1C">
      <w:rPr>
        <w:sz w:val="18"/>
        <w:szCs w:val="18"/>
      </w:rPr>
      <w:t xml:space="preserve"> </w:t>
    </w:r>
    <w:r>
      <w:rPr>
        <w:sz w:val="18"/>
        <w:szCs w:val="18"/>
      </w:rPr>
      <w:t xml:space="preserve">is authorised and </w:t>
    </w:r>
    <w:r w:rsidRPr="00A67F1C">
      <w:rPr>
        <w:sz w:val="18"/>
        <w:szCs w:val="18"/>
      </w:rPr>
      <w:t xml:space="preserve">regulated by the Financial Conduct Authority.  </w:t>
    </w:r>
  </w:p>
  <w:p w14:paraId="411C5490" w14:textId="589A1CB1" w:rsidR="002B7EB1" w:rsidRPr="00C87F8A" w:rsidRDefault="007C3438" w:rsidP="007C3438">
    <w:pPr>
      <w:pStyle w:val="Footer"/>
      <w:spacing w:after="384"/>
    </w:pPr>
    <w:r w:rsidRPr="00A67F1C">
      <w:rPr>
        <w:sz w:val="18"/>
        <w:szCs w:val="18"/>
      </w:rPr>
      <w:t>Registered in England No. 3877777.</w:t>
    </w:r>
    <w:r w:rsidRPr="00A67F1C">
      <w:rPr>
        <w:sz w:val="18"/>
        <w:szCs w:val="18"/>
      </w:rPr>
      <w:br/>
      <w:t xml:space="preserve">Registered address: 123 Victoria Street, London, SW1E 6DE, UK.                                                                                  </w:t>
    </w:r>
    <w:r w:rsidRPr="00A67F1C">
      <w:rPr>
        <w:sz w:val="18"/>
        <w:szCs w:val="18"/>
      </w:rPr>
      <w:br/>
      <w:t>+44 20 7963 4700           bii.co.uk</w:t>
    </w:r>
    <w:r w:rsidR="00C87F8A">
      <w:rPr>
        <w:b/>
        <w:bCs/>
        <w:szCs w:val="20"/>
      </w:rPr>
      <w:tab/>
    </w:r>
    <w:r w:rsidR="00C87F8A">
      <w:rPr>
        <w:b/>
        <w:bCs/>
        <w:szCs w:val="20"/>
      </w:rPr>
      <w:tab/>
    </w:r>
    <w:r w:rsidR="00C87F8A">
      <w:rPr>
        <w:b/>
        <w:bCs/>
        <w:szCs w:val="20"/>
      </w:rPr>
      <w:tab/>
      <w:t xml:space="preserve">          </w:t>
    </w:r>
    <w:r w:rsidR="00C87F8A" w:rsidRPr="002A5A21">
      <w:rPr>
        <w:szCs w:val="20"/>
      </w:rPr>
      <w:t xml:space="preserve">Page </w:t>
    </w:r>
    <w:r w:rsidR="00C87F8A" w:rsidRPr="002A5A21">
      <w:rPr>
        <w:b/>
        <w:bCs/>
        <w:szCs w:val="20"/>
      </w:rPr>
      <w:fldChar w:fldCharType="begin"/>
    </w:r>
    <w:r w:rsidR="00C87F8A" w:rsidRPr="002A5A21">
      <w:rPr>
        <w:b/>
        <w:bCs/>
        <w:szCs w:val="20"/>
      </w:rPr>
      <w:instrText xml:space="preserve"> PAGE  \* Arabic  \* MERGEFORMAT </w:instrText>
    </w:r>
    <w:r w:rsidR="00C87F8A" w:rsidRPr="002A5A21">
      <w:rPr>
        <w:b/>
        <w:bCs/>
        <w:szCs w:val="20"/>
      </w:rPr>
      <w:fldChar w:fldCharType="separate"/>
    </w:r>
    <w:r w:rsidR="00C87F8A">
      <w:rPr>
        <w:b/>
        <w:bCs/>
        <w:szCs w:val="20"/>
      </w:rPr>
      <w:t>1</w:t>
    </w:r>
    <w:r w:rsidR="00C87F8A" w:rsidRPr="002A5A21">
      <w:rPr>
        <w:b/>
        <w:bCs/>
        <w:szCs w:val="20"/>
      </w:rPr>
      <w:fldChar w:fldCharType="end"/>
    </w:r>
    <w:r w:rsidR="00C87F8A" w:rsidRPr="002A5A21">
      <w:rPr>
        <w:szCs w:val="20"/>
      </w:rPr>
      <w:t xml:space="preserve"> of </w:t>
    </w:r>
    <w:r w:rsidR="00C87F8A" w:rsidRPr="002A5A21">
      <w:rPr>
        <w:b/>
        <w:bCs/>
        <w:szCs w:val="20"/>
      </w:rPr>
      <w:fldChar w:fldCharType="begin"/>
    </w:r>
    <w:r w:rsidR="00C87F8A" w:rsidRPr="002A5A21">
      <w:rPr>
        <w:b/>
        <w:bCs/>
        <w:szCs w:val="20"/>
      </w:rPr>
      <w:instrText xml:space="preserve"> NUMPAGES  \* Arabic  \* MERGEFORMAT </w:instrText>
    </w:r>
    <w:r w:rsidR="00C87F8A" w:rsidRPr="002A5A21">
      <w:rPr>
        <w:b/>
        <w:bCs/>
        <w:szCs w:val="20"/>
      </w:rPr>
      <w:fldChar w:fldCharType="separate"/>
    </w:r>
    <w:r w:rsidR="00C87F8A">
      <w:rPr>
        <w:b/>
        <w:bCs/>
        <w:szCs w:val="20"/>
      </w:rPr>
      <w:t>2</w:t>
    </w:r>
    <w:r w:rsidR="00C87F8A"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EB45" w14:textId="77777777" w:rsidR="007C1DD7" w:rsidRDefault="002A5A21" w:rsidP="002A5A21">
    <w:pPr>
      <w:pStyle w:val="Footer"/>
      <w:spacing w:after="384"/>
      <w:contextualSpacing/>
      <w:rPr>
        <w:sz w:val="18"/>
        <w:szCs w:val="18"/>
      </w:rPr>
    </w:pPr>
    <w:r w:rsidRPr="00A67F1C">
      <w:rPr>
        <w:sz w:val="18"/>
        <w:szCs w:val="18"/>
      </w:rPr>
      <w:t xml:space="preserve">British International Investment </w:t>
    </w:r>
    <w:r w:rsidR="00A67F1C">
      <w:rPr>
        <w:sz w:val="18"/>
        <w:szCs w:val="18"/>
      </w:rPr>
      <w:t>plc</w:t>
    </w:r>
    <w:r w:rsidRPr="00A67F1C">
      <w:rPr>
        <w:sz w:val="18"/>
        <w:szCs w:val="18"/>
      </w:rPr>
      <w:t xml:space="preserve"> </w:t>
    </w:r>
    <w:r w:rsidR="007C1DD7">
      <w:rPr>
        <w:sz w:val="18"/>
        <w:szCs w:val="18"/>
      </w:rPr>
      <w:t>is authorised and</w:t>
    </w:r>
    <w:r w:rsidR="00085987">
      <w:rPr>
        <w:sz w:val="18"/>
        <w:szCs w:val="18"/>
      </w:rPr>
      <w:t xml:space="preserve"> </w:t>
    </w:r>
    <w:r w:rsidRPr="00A67F1C">
      <w:rPr>
        <w:sz w:val="18"/>
        <w:szCs w:val="18"/>
      </w:rPr>
      <w:t xml:space="preserve">regulated by the Financial Conduct Authority.  </w:t>
    </w:r>
  </w:p>
  <w:p w14:paraId="19FF72E9" w14:textId="77777777" w:rsidR="002A5A21" w:rsidRPr="00A67F1C" w:rsidRDefault="003B40ED" w:rsidP="002A5A21">
    <w:pPr>
      <w:pStyle w:val="Footer"/>
      <w:spacing w:after="384"/>
      <w:contextualSpacing/>
      <w:rPr>
        <w:sz w:val="18"/>
        <w:szCs w:val="18"/>
      </w:rPr>
    </w:pPr>
    <w:r w:rsidRPr="00A67F1C">
      <w:rPr>
        <w:sz w:val="18"/>
        <w:szCs w:val="18"/>
      </w:rPr>
      <w:t>Registered in England No. 3877777.</w:t>
    </w:r>
    <w:r w:rsidR="002A5A21" w:rsidRPr="00A67F1C">
      <w:rPr>
        <w:sz w:val="18"/>
        <w:szCs w:val="18"/>
      </w:rPr>
      <w:br/>
      <w:t>Registered address: 123 Victoria Street, London, SW1E 6DE, UK.</w:t>
    </w:r>
    <w:r w:rsidR="009A7F40" w:rsidRPr="00A67F1C">
      <w:rPr>
        <w:sz w:val="18"/>
        <w:szCs w:val="18"/>
      </w:rPr>
      <w:t xml:space="preserve">      </w:t>
    </w:r>
    <w:r w:rsidRPr="00A67F1C">
      <w:rPr>
        <w:sz w:val="18"/>
        <w:szCs w:val="18"/>
      </w:rPr>
      <w:t xml:space="preserve">                                                                            </w:t>
    </w:r>
    <w:r w:rsidR="00C87F8A" w:rsidRPr="00A67F1C">
      <w:rPr>
        <w:sz w:val="18"/>
        <w:szCs w:val="18"/>
      </w:rPr>
      <w:br/>
    </w:r>
    <w:r w:rsidR="002A5A21" w:rsidRPr="00A67F1C">
      <w:rPr>
        <w:sz w:val="18"/>
        <w:szCs w:val="18"/>
      </w:rPr>
      <w:t>+44 20 7963 4700           bii.co.uk</w:t>
    </w:r>
    <w:r w:rsidR="002A5A21" w:rsidRPr="00A67F1C">
      <w:rPr>
        <w:b/>
        <w:bCs/>
        <w:sz w:val="18"/>
        <w:szCs w:val="18"/>
      </w:rPr>
      <w:t xml:space="preserve">        </w:t>
    </w:r>
    <w:r w:rsidR="00C87F8A" w:rsidRPr="00A67F1C">
      <w:rPr>
        <w:b/>
        <w:bCs/>
        <w:sz w:val="18"/>
        <w:szCs w:val="18"/>
      </w:rPr>
      <w:tab/>
    </w:r>
    <w:r w:rsidR="00C87F8A" w:rsidRPr="00A67F1C">
      <w:rPr>
        <w:b/>
        <w:bCs/>
        <w:sz w:val="18"/>
        <w:szCs w:val="18"/>
      </w:rPr>
      <w:tab/>
    </w:r>
    <w:r w:rsidR="00C87F8A" w:rsidRPr="00A67F1C">
      <w:rPr>
        <w:b/>
        <w:bCs/>
        <w:sz w:val="18"/>
        <w:szCs w:val="18"/>
      </w:rPr>
      <w:tab/>
      <w:t xml:space="preserve">          </w:t>
    </w:r>
    <w:r w:rsidR="00C87F8A" w:rsidRPr="00A67F1C">
      <w:rPr>
        <w:sz w:val="18"/>
        <w:szCs w:val="18"/>
      </w:rPr>
      <w:t xml:space="preserve">Page </w:t>
    </w:r>
    <w:r w:rsidR="00C87F8A" w:rsidRPr="00A67F1C">
      <w:rPr>
        <w:b/>
        <w:bCs/>
        <w:sz w:val="18"/>
        <w:szCs w:val="18"/>
      </w:rPr>
      <w:fldChar w:fldCharType="begin"/>
    </w:r>
    <w:r w:rsidR="00C87F8A" w:rsidRPr="00A67F1C">
      <w:rPr>
        <w:b/>
        <w:bCs/>
        <w:sz w:val="18"/>
        <w:szCs w:val="18"/>
      </w:rPr>
      <w:instrText xml:space="preserve"> PAGE  \* Arabic  \* MERGEFORMAT </w:instrText>
    </w:r>
    <w:r w:rsidR="00C87F8A" w:rsidRPr="00A67F1C">
      <w:rPr>
        <w:b/>
        <w:bCs/>
        <w:sz w:val="18"/>
        <w:szCs w:val="18"/>
      </w:rPr>
      <w:fldChar w:fldCharType="separate"/>
    </w:r>
    <w:r w:rsidR="00C87F8A" w:rsidRPr="00A67F1C">
      <w:rPr>
        <w:b/>
        <w:bCs/>
        <w:sz w:val="18"/>
        <w:szCs w:val="18"/>
      </w:rPr>
      <w:t>1</w:t>
    </w:r>
    <w:r w:rsidR="00C87F8A" w:rsidRPr="00A67F1C">
      <w:rPr>
        <w:b/>
        <w:bCs/>
        <w:sz w:val="18"/>
        <w:szCs w:val="18"/>
      </w:rPr>
      <w:fldChar w:fldCharType="end"/>
    </w:r>
    <w:r w:rsidR="00C87F8A" w:rsidRPr="00A67F1C">
      <w:rPr>
        <w:sz w:val="18"/>
        <w:szCs w:val="18"/>
      </w:rPr>
      <w:t xml:space="preserve"> of </w:t>
    </w:r>
    <w:r w:rsidR="00C87F8A" w:rsidRPr="00A67F1C">
      <w:rPr>
        <w:b/>
        <w:bCs/>
        <w:sz w:val="18"/>
        <w:szCs w:val="18"/>
      </w:rPr>
      <w:fldChar w:fldCharType="begin"/>
    </w:r>
    <w:r w:rsidR="00C87F8A" w:rsidRPr="00A67F1C">
      <w:rPr>
        <w:b/>
        <w:bCs/>
        <w:sz w:val="18"/>
        <w:szCs w:val="18"/>
      </w:rPr>
      <w:instrText xml:space="preserve"> NUMPAGES  \* Arabic  \* MERGEFORMAT </w:instrText>
    </w:r>
    <w:r w:rsidR="00C87F8A" w:rsidRPr="00A67F1C">
      <w:rPr>
        <w:b/>
        <w:bCs/>
        <w:sz w:val="18"/>
        <w:szCs w:val="18"/>
      </w:rPr>
      <w:fldChar w:fldCharType="separate"/>
    </w:r>
    <w:r w:rsidR="00C87F8A" w:rsidRPr="00A67F1C">
      <w:rPr>
        <w:b/>
        <w:bCs/>
        <w:sz w:val="18"/>
        <w:szCs w:val="18"/>
      </w:rPr>
      <w:t>2</w:t>
    </w:r>
    <w:r w:rsidR="00C87F8A" w:rsidRPr="00A67F1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4F15" w14:textId="77777777" w:rsidR="00636A52" w:rsidRDefault="00636A52">
      <w:pPr>
        <w:spacing w:after="384"/>
      </w:pPr>
      <w:r>
        <w:rPr>
          <w:color w:val="000000"/>
        </w:rPr>
        <w:separator/>
      </w:r>
    </w:p>
  </w:footnote>
  <w:footnote w:type="continuationSeparator" w:id="0">
    <w:p w14:paraId="38727304" w14:textId="77777777" w:rsidR="00636A52" w:rsidRDefault="00636A52">
      <w:pPr>
        <w:spacing w:after="384"/>
      </w:pPr>
      <w:r>
        <w:continuationSeparator/>
      </w:r>
    </w:p>
  </w:footnote>
  <w:footnote w:type="continuationNotice" w:id="1">
    <w:p w14:paraId="099CBA45" w14:textId="77777777" w:rsidR="00636A52" w:rsidRDefault="00636A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0CEB" w14:textId="1A78351D" w:rsidR="007C3438" w:rsidRDefault="007C3438">
    <w:pPr>
      <w:pStyle w:val="Header"/>
    </w:pPr>
    <w:r>
      <w:rPr>
        <w:noProof/>
      </w:rPr>
      <w:drawing>
        <wp:anchor distT="0" distB="0" distL="114300" distR="114300" simplePos="0" relativeHeight="251663360" behindDoc="0" locked="0" layoutInCell="1" allowOverlap="1" wp14:anchorId="66357A38" wp14:editId="26B95BE2">
          <wp:simplePos x="0" y="0"/>
          <wp:positionH relativeFrom="column">
            <wp:posOffset>0</wp:posOffset>
          </wp:positionH>
          <wp:positionV relativeFrom="paragraph">
            <wp:posOffset>-237690</wp:posOffset>
          </wp:positionV>
          <wp:extent cx="1917989" cy="738000"/>
          <wp:effectExtent l="0" t="0" r="0" b="0"/>
          <wp:wrapNone/>
          <wp:docPr id="9" name="Picture 9"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989" cy="73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F49B07B" wp14:editId="6A46A385">
          <wp:simplePos x="0" y="0"/>
          <wp:positionH relativeFrom="column">
            <wp:posOffset>2526665</wp:posOffset>
          </wp:positionH>
          <wp:positionV relativeFrom="paragraph">
            <wp:posOffset>76134</wp:posOffset>
          </wp:positionV>
          <wp:extent cx="1340485" cy="427990"/>
          <wp:effectExtent l="0" t="0" r="0" b="0"/>
          <wp:wrapSquare wrapText="bothSides"/>
          <wp:docPr id="10" name="Picture 10"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5F">
      <w:rPr>
        <w:noProof/>
      </w:rPr>
      <w:drawing>
        <wp:anchor distT="0" distB="0" distL="114300" distR="114300" simplePos="0" relativeHeight="251678720" behindDoc="0" locked="0" layoutInCell="1" allowOverlap="1" wp14:anchorId="2191C302" wp14:editId="68304A68">
          <wp:simplePos x="0" y="0"/>
          <wp:positionH relativeFrom="column">
            <wp:posOffset>5574665</wp:posOffset>
          </wp:positionH>
          <wp:positionV relativeFrom="paragraph">
            <wp:posOffset>78806</wp:posOffset>
          </wp:positionV>
          <wp:extent cx="828675" cy="4286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07F1" w14:textId="50124714" w:rsidR="002B7EB1" w:rsidRDefault="007C3438" w:rsidP="00D213DB">
    <w:pPr>
      <w:spacing w:after="384"/>
      <w:ind w:left="-142"/>
    </w:pPr>
    <w:r>
      <w:rPr>
        <w:noProof/>
      </w:rPr>
      <w:drawing>
        <wp:anchor distT="0" distB="0" distL="114300" distR="114300" simplePos="0" relativeHeight="251650048" behindDoc="0" locked="0" layoutInCell="1" allowOverlap="1" wp14:anchorId="31C1A09D" wp14:editId="170FDBCB">
          <wp:simplePos x="0" y="0"/>
          <wp:positionH relativeFrom="column">
            <wp:posOffset>2526030</wp:posOffset>
          </wp:positionH>
          <wp:positionV relativeFrom="paragraph">
            <wp:posOffset>26035</wp:posOffset>
          </wp:positionV>
          <wp:extent cx="1340485" cy="427990"/>
          <wp:effectExtent l="0" t="0" r="0" b="0"/>
          <wp:wrapSquare wrapText="bothSides"/>
          <wp:docPr id="12" name="Picture 12"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5F">
      <w:rPr>
        <w:noProof/>
      </w:rPr>
      <w:drawing>
        <wp:anchor distT="0" distB="0" distL="114300" distR="114300" simplePos="0" relativeHeight="251657216" behindDoc="0" locked="0" layoutInCell="1" allowOverlap="1" wp14:anchorId="3DACF283" wp14:editId="58F05593">
          <wp:simplePos x="0" y="0"/>
          <wp:positionH relativeFrom="column">
            <wp:posOffset>5574631</wp:posOffset>
          </wp:positionH>
          <wp:positionV relativeFrom="paragraph">
            <wp:posOffset>24130</wp:posOffset>
          </wp:positionV>
          <wp:extent cx="828675" cy="4286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r w:rsidR="00C8669C">
      <w:rPr>
        <w:noProof/>
      </w:rPr>
      <w:drawing>
        <wp:anchor distT="0" distB="0" distL="114300" distR="114300" simplePos="0" relativeHeight="251642880" behindDoc="0" locked="0" layoutInCell="1" allowOverlap="1" wp14:anchorId="00730CD1" wp14:editId="6369643A">
          <wp:simplePos x="0" y="0"/>
          <wp:positionH relativeFrom="column">
            <wp:posOffset>-50165</wp:posOffset>
          </wp:positionH>
          <wp:positionV relativeFrom="paragraph">
            <wp:posOffset>-180975</wp:posOffset>
          </wp:positionV>
          <wp:extent cx="1917989" cy="738000"/>
          <wp:effectExtent l="0" t="0" r="0" b="0"/>
          <wp:wrapNone/>
          <wp:docPr id="14" name="Picture 14"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989" cy="73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48696" w14:textId="7466768A" w:rsidR="002B7EB1" w:rsidRDefault="002B7EB1">
    <w:pPr>
      <w:spacing w:after="3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44015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1516A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215F8B"/>
    <w:multiLevelType w:val="hybridMultilevel"/>
    <w:tmpl w:val="5A2A689E"/>
    <w:lvl w:ilvl="0" w:tplc="E8C6B03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0" w15:restartNumberingAfterBreak="0">
    <w:nsid w:val="281E4A20"/>
    <w:multiLevelType w:val="hybridMultilevel"/>
    <w:tmpl w:val="ECA8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62817"/>
    <w:multiLevelType w:val="multilevel"/>
    <w:tmpl w:val="CBF03E8E"/>
    <w:styleLink w:val="Ergon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AA642F0"/>
    <w:multiLevelType w:val="multilevel"/>
    <w:tmpl w:val="0809001F"/>
    <w:numStyleLink w:val="11numberbullet"/>
  </w:abstractNum>
  <w:abstractNum w:abstractNumId="16" w15:restartNumberingAfterBreak="0">
    <w:nsid w:val="3D291027"/>
    <w:multiLevelType w:val="multilevel"/>
    <w:tmpl w:val="0809001F"/>
    <w:numStyleLink w:val="11numberbullet"/>
  </w:abstractNum>
  <w:abstractNum w:abstractNumId="17" w15:restartNumberingAfterBreak="0">
    <w:nsid w:val="418A14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81786F"/>
    <w:multiLevelType w:val="hybridMultilevel"/>
    <w:tmpl w:val="59C2FD06"/>
    <w:lvl w:ilvl="0" w:tplc="9D0A2F0E">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6B31172E"/>
    <w:multiLevelType w:val="hybridMultilevel"/>
    <w:tmpl w:val="7CD8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551193"/>
    <w:multiLevelType w:val="multilevel"/>
    <w:tmpl w:val="CBF03E8E"/>
    <w:numStyleLink w:val="ErgonList"/>
  </w:abstractNum>
  <w:abstractNum w:abstractNumId="28" w15:restartNumberingAfterBreak="0">
    <w:nsid w:val="7D56332C"/>
    <w:multiLevelType w:val="multilevel"/>
    <w:tmpl w:val="0809001F"/>
    <w:styleLink w:val="11numberbullet"/>
    <w:lvl w:ilvl="0">
      <w:start w:val="1"/>
      <w:numFmt w:val="decimal"/>
      <w:pStyle w:val="Heading-numbered"/>
      <w:lvlText w:val="%1."/>
      <w:lvlJc w:val="left"/>
      <w:pPr>
        <w:ind w:left="360" w:hanging="360"/>
      </w:pPr>
      <w:rPr>
        <w:rFonts w:ascii="Cambria" w:hAnsi="Cambr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3483689">
    <w:abstractNumId w:val="23"/>
  </w:num>
  <w:num w:numId="2" w16cid:durableId="905341251">
    <w:abstractNumId w:val="25"/>
  </w:num>
  <w:num w:numId="3" w16cid:durableId="2049526660">
    <w:abstractNumId w:val="6"/>
  </w:num>
  <w:num w:numId="4" w16cid:durableId="1012224739">
    <w:abstractNumId w:val="14"/>
  </w:num>
  <w:num w:numId="5" w16cid:durableId="1834880710">
    <w:abstractNumId w:val="26"/>
  </w:num>
  <w:num w:numId="6" w16cid:durableId="1576668292">
    <w:abstractNumId w:val="13"/>
  </w:num>
  <w:num w:numId="7" w16cid:durableId="1852379733">
    <w:abstractNumId w:val="8"/>
  </w:num>
  <w:num w:numId="8" w16cid:durableId="1027559327">
    <w:abstractNumId w:val="3"/>
  </w:num>
  <w:num w:numId="9" w16cid:durableId="1162350400">
    <w:abstractNumId w:val="19"/>
  </w:num>
  <w:num w:numId="10" w16cid:durableId="1615476363">
    <w:abstractNumId w:val="12"/>
  </w:num>
  <w:num w:numId="11" w16cid:durableId="269092991">
    <w:abstractNumId w:val="24"/>
  </w:num>
  <w:num w:numId="12" w16cid:durableId="291636618">
    <w:abstractNumId w:val="20"/>
  </w:num>
  <w:num w:numId="13" w16cid:durableId="1821343607">
    <w:abstractNumId w:val="5"/>
  </w:num>
  <w:num w:numId="14" w16cid:durableId="351152643">
    <w:abstractNumId w:val="2"/>
  </w:num>
  <w:num w:numId="15" w16cid:durableId="717125806">
    <w:abstractNumId w:val="4"/>
  </w:num>
  <w:num w:numId="16" w16cid:durableId="111412397">
    <w:abstractNumId w:val="1"/>
  </w:num>
  <w:num w:numId="17" w16cid:durableId="2030989046">
    <w:abstractNumId w:val="0"/>
  </w:num>
  <w:num w:numId="18" w16cid:durableId="404423359">
    <w:abstractNumId w:val="18"/>
  </w:num>
  <w:num w:numId="19" w16cid:durableId="1031108166">
    <w:abstractNumId w:val="9"/>
  </w:num>
  <w:num w:numId="20" w16cid:durableId="196509368">
    <w:abstractNumId w:val="28"/>
  </w:num>
  <w:num w:numId="21" w16cid:durableId="749540198">
    <w:abstractNumId w:val="15"/>
  </w:num>
  <w:num w:numId="22" w16cid:durableId="1688363228">
    <w:abstractNumId w:val="21"/>
  </w:num>
  <w:num w:numId="23" w16cid:durableId="825168367">
    <w:abstractNumId w:val="16"/>
  </w:num>
  <w:num w:numId="24" w16cid:durableId="1105807460">
    <w:abstractNumId w:val="17"/>
  </w:num>
  <w:num w:numId="25" w16cid:durableId="1147627954">
    <w:abstractNumId w:val="7"/>
  </w:num>
  <w:num w:numId="26" w16cid:durableId="1105690085">
    <w:abstractNumId w:val="11"/>
  </w:num>
  <w:num w:numId="27" w16cid:durableId="479886519">
    <w:abstractNumId w:val="27"/>
  </w:num>
  <w:num w:numId="28" w16cid:durableId="1366061626">
    <w:abstractNumId w:val="22"/>
  </w:num>
  <w:num w:numId="29" w16cid:durableId="181969004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38"/>
    <w:rsid w:val="00064D6D"/>
    <w:rsid w:val="0008424D"/>
    <w:rsid w:val="00085987"/>
    <w:rsid w:val="000E0B12"/>
    <w:rsid w:val="000F09FF"/>
    <w:rsid w:val="000F7255"/>
    <w:rsid w:val="0013311F"/>
    <w:rsid w:val="0015253A"/>
    <w:rsid w:val="001711CE"/>
    <w:rsid w:val="00191F90"/>
    <w:rsid w:val="00277146"/>
    <w:rsid w:val="002A5A21"/>
    <w:rsid w:val="002B7EB1"/>
    <w:rsid w:val="002C0ECC"/>
    <w:rsid w:val="002C6546"/>
    <w:rsid w:val="002D0A96"/>
    <w:rsid w:val="002F1BA0"/>
    <w:rsid w:val="00366473"/>
    <w:rsid w:val="003723FE"/>
    <w:rsid w:val="00385900"/>
    <w:rsid w:val="00385BD5"/>
    <w:rsid w:val="003B40ED"/>
    <w:rsid w:val="003B6E87"/>
    <w:rsid w:val="003E425D"/>
    <w:rsid w:val="003E43D5"/>
    <w:rsid w:val="00463DE9"/>
    <w:rsid w:val="004B0D4A"/>
    <w:rsid w:val="004E63D9"/>
    <w:rsid w:val="004F593D"/>
    <w:rsid w:val="0055350E"/>
    <w:rsid w:val="0058458F"/>
    <w:rsid w:val="005F0836"/>
    <w:rsid w:val="00616934"/>
    <w:rsid w:val="00617BF4"/>
    <w:rsid w:val="00636A52"/>
    <w:rsid w:val="00704594"/>
    <w:rsid w:val="00781D9D"/>
    <w:rsid w:val="00797AA4"/>
    <w:rsid w:val="007A17D7"/>
    <w:rsid w:val="007C1DD7"/>
    <w:rsid w:val="007C3438"/>
    <w:rsid w:val="007E1F42"/>
    <w:rsid w:val="00804698"/>
    <w:rsid w:val="00811720"/>
    <w:rsid w:val="008244F7"/>
    <w:rsid w:val="00867073"/>
    <w:rsid w:val="008A3501"/>
    <w:rsid w:val="00923E8E"/>
    <w:rsid w:val="0094322E"/>
    <w:rsid w:val="00947675"/>
    <w:rsid w:val="0095118B"/>
    <w:rsid w:val="00953647"/>
    <w:rsid w:val="009768E9"/>
    <w:rsid w:val="00984140"/>
    <w:rsid w:val="009A7F40"/>
    <w:rsid w:val="009B0230"/>
    <w:rsid w:val="009B7204"/>
    <w:rsid w:val="009C6FC4"/>
    <w:rsid w:val="009E6AFE"/>
    <w:rsid w:val="00A679DA"/>
    <w:rsid w:val="00A67F1C"/>
    <w:rsid w:val="00A978CE"/>
    <w:rsid w:val="00AA7109"/>
    <w:rsid w:val="00AC0E6D"/>
    <w:rsid w:val="00AC344E"/>
    <w:rsid w:val="00AE4BB4"/>
    <w:rsid w:val="00B02043"/>
    <w:rsid w:val="00B137E4"/>
    <w:rsid w:val="00B37D01"/>
    <w:rsid w:val="00B73470"/>
    <w:rsid w:val="00BE78B5"/>
    <w:rsid w:val="00C06155"/>
    <w:rsid w:val="00C11822"/>
    <w:rsid w:val="00C15218"/>
    <w:rsid w:val="00C8669C"/>
    <w:rsid w:val="00C87F8A"/>
    <w:rsid w:val="00CB6382"/>
    <w:rsid w:val="00CF1535"/>
    <w:rsid w:val="00CF1AE3"/>
    <w:rsid w:val="00D16EC9"/>
    <w:rsid w:val="00D213DB"/>
    <w:rsid w:val="00D30F2B"/>
    <w:rsid w:val="00D31196"/>
    <w:rsid w:val="00D3451A"/>
    <w:rsid w:val="00D36D31"/>
    <w:rsid w:val="00D91FEA"/>
    <w:rsid w:val="00D9740D"/>
    <w:rsid w:val="00DA3961"/>
    <w:rsid w:val="00DA5708"/>
    <w:rsid w:val="00DE3808"/>
    <w:rsid w:val="00E40221"/>
    <w:rsid w:val="00E442DB"/>
    <w:rsid w:val="00E64D63"/>
    <w:rsid w:val="00E71833"/>
    <w:rsid w:val="00E80CF0"/>
    <w:rsid w:val="00EB0C09"/>
    <w:rsid w:val="00F12CA0"/>
    <w:rsid w:val="00F8793C"/>
    <w:rsid w:val="00FC1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6C5FE"/>
  <w15:docId w15:val="{C33F8ACB-ECC3-4579-AF03-5AF23D38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F7"/>
    <w:pPr>
      <w:spacing w:line="312" w:lineRule="auto"/>
    </w:pPr>
    <w:rPr>
      <w:rFonts w:ascii="Cambria" w:hAnsi="Cambria"/>
    </w:rPr>
  </w:style>
  <w:style w:type="paragraph" w:styleId="Heading1">
    <w:name w:val="heading 1"/>
    <w:basedOn w:val="Normal"/>
    <w:next w:val="Normal"/>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CF1AE3"/>
    <w:pPr>
      <w:numPr>
        <w:numId w:val="17"/>
      </w:numPr>
      <w:contextualSpacing/>
    </w:pPr>
  </w:style>
  <w:style w:type="paragraph" w:customStyle="1" w:styleId="Numberlistlevel1">
    <w:name w:val="Number list level 1"/>
    <w:basedOn w:val="ListBullet2"/>
    <w:qFormat/>
    <w:rsid w:val="00867073"/>
    <w:pPr>
      <w:numPr>
        <w:numId w:val="18"/>
      </w:numPr>
      <w:ind w:left="426" w:hanging="426"/>
    </w:p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qFormat/>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rsid w:val="00A978CE"/>
    <w:rPr>
      <w:rFonts w:ascii="Cambria" w:hAnsi="Cambria"/>
      <w:position w:val="0"/>
      <w:sz w:val="20"/>
      <w:vertAlign w:val="superscript"/>
    </w:rPr>
  </w:style>
  <w:style w:type="paragraph" w:styleId="Title">
    <w:name w:val="Title"/>
    <w:basedOn w:val="Normal"/>
    <w:next w:val="NoSpacing"/>
    <w:link w:val="TitleChar"/>
    <w:uiPriority w:val="10"/>
    <w:qFormat/>
    <w:rsid w:val="008244F7"/>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8244F7"/>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8244F7"/>
    <w:pPr>
      <w:numPr>
        <w:ilvl w:val="1"/>
      </w:numPr>
      <w:spacing w:line="240" w:lineRule="auto"/>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8244F7"/>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iPriority w:val="99"/>
    <w:unhideWhenUsed/>
    <w:qFormat/>
    <w:rsid w:val="00CF1AE3"/>
    <w:pPr>
      <w:numPr>
        <w:numId w:val="14"/>
      </w:numPr>
      <w:contextualSpacing/>
    </w:pPr>
  </w:style>
  <w:style w:type="paragraph" w:customStyle="1" w:styleId="Bulletlevel1">
    <w:name w:val="Bullet level 1"/>
    <w:basedOn w:val="ListBullet"/>
    <w:qFormat/>
    <w:rsid w:val="00867073"/>
    <w:pPr>
      <w:tabs>
        <w:tab w:val="clear" w:pos="360"/>
      </w:tabs>
      <w:ind w:left="426" w:hanging="426"/>
    </w:p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867073"/>
    <w:pPr>
      <w:numPr>
        <w:numId w:val="19"/>
      </w:numPr>
      <w:ind w:left="993" w:hanging="426"/>
    </w:p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867073"/>
    <w:rPr>
      <w:rFonts w:ascii="Cambria" w:hAnsi="Cambria"/>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Heading-numbered">
    <w:name w:val="Heading - numbered"/>
    <w:basedOn w:val="Normal"/>
    <w:link w:val="Heading-numberedChar"/>
    <w:rsid w:val="00366473"/>
    <w:pPr>
      <w:numPr>
        <w:numId w:val="23"/>
      </w:numPr>
      <w:tabs>
        <w:tab w:val="right" w:pos="8080"/>
      </w:tabs>
      <w:suppressAutoHyphens/>
      <w:spacing w:after="113"/>
      <w:ind w:right="1985"/>
    </w:pPr>
    <w:rPr>
      <w:rFonts w:asciiTheme="minorHAnsi" w:hAnsiTheme="minorHAnsi"/>
      <w:b/>
      <w:bCs/>
      <w:noProof/>
    </w:rPr>
  </w:style>
  <w:style w:type="character" w:customStyle="1" w:styleId="Heading-numberedChar">
    <w:name w:val="Heading - numbered Char"/>
    <w:basedOn w:val="DefaultParagraphFont"/>
    <w:link w:val="Heading-numbered"/>
    <w:rsid w:val="00366473"/>
    <w:rPr>
      <w:rFonts w:asciiTheme="minorHAnsi" w:hAnsiTheme="minorHAnsi"/>
      <w:b/>
      <w:bCs/>
      <w:noProof/>
    </w:rPr>
  </w:style>
  <w:style w:type="paragraph" w:customStyle="1" w:styleId="Heading2-numbered">
    <w:name w:val="Heading 2 - numbered"/>
    <w:basedOn w:val="Heading-numbered"/>
    <w:link w:val="Heading2-numberedChar"/>
    <w:qFormat/>
    <w:rsid w:val="00366473"/>
    <w:pPr>
      <w:numPr>
        <w:ilvl w:val="1"/>
      </w:numPr>
      <w:ind w:left="567" w:hanging="567"/>
    </w:pPr>
    <w:rPr>
      <w:color w:val="EF7D00" w:themeColor="background1"/>
    </w:rPr>
  </w:style>
  <w:style w:type="paragraph" w:customStyle="1" w:styleId="Heading3-numbered">
    <w:name w:val="Heading 3 - numbered"/>
    <w:basedOn w:val="Heading-numbered"/>
    <w:link w:val="Heading3-numberedChar"/>
    <w:qFormat/>
    <w:rsid w:val="00366473"/>
    <w:pPr>
      <w:numPr>
        <w:ilvl w:val="2"/>
      </w:numPr>
      <w:ind w:left="851" w:right="27" w:hanging="851"/>
    </w:pPr>
    <w:rPr>
      <w:color w:val="A4B2A5" w:themeColor="text2"/>
    </w:rPr>
  </w:style>
  <w:style w:type="character" w:customStyle="1" w:styleId="Heading2-numberedChar">
    <w:name w:val="Heading 2 - numbered Char"/>
    <w:basedOn w:val="Heading-numberedChar"/>
    <w:link w:val="Heading2-numbered"/>
    <w:rsid w:val="00366473"/>
    <w:rPr>
      <w:rFonts w:asciiTheme="minorHAnsi" w:hAnsiTheme="minorHAnsi"/>
      <w:b/>
      <w:bCs/>
      <w:noProof/>
      <w:color w:val="EF7D00" w:themeColor="background1"/>
    </w:rPr>
  </w:style>
  <w:style w:type="character" w:customStyle="1" w:styleId="Heading3-numberedChar">
    <w:name w:val="Heading 3 - numbered Char"/>
    <w:basedOn w:val="Heading-numberedChar"/>
    <w:link w:val="Heading3-numbered"/>
    <w:rsid w:val="00366473"/>
    <w:rPr>
      <w:rFonts w:asciiTheme="minorHAnsi" w:hAnsiTheme="minorHAnsi"/>
      <w:b/>
      <w:bCs/>
      <w:noProof/>
      <w:color w:val="A4B2A5" w:themeColor="text2"/>
    </w:rPr>
  </w:style>
  <w:style w:type="paragraph" w:customStyle="1" w:styleId="Heading1-numbered">
    <w:name w:val="Heading 1 - numbered"/>
    <w:basedOn w:val="Heading-numbered"/>
    <w:link w:val="Heading1-numberedChar"/>
    <w:qFormat/>
    <w:rsid w:val="000F09FF"/>
    <w:pPr>
      <w:ind w:left="426" w:hanging="426"/>
    </w:pPr>
  </w:style>
  <w:style w:type="character" w:customStyle="1" w:styleId="Heading1-numberedChar">
    <w:name w:val="Heading 1 - numbered Char"/>
    <w:basedOn w:val="Heading-numberedChar"/>
    <w:link w:val="Heading1-numbered"/>
    <w:rsid w:val="000F09FF"/>
    <w:rPr>
      <w:rFonts w:asciiTheme="minorHAnsi" w:hAnsiTheme="minorHAnsi"/>
      <w:b/>
      <w:bCs/>
      <w:noProof/>
    </w:rPr>
  </w:style>
  <w:style w:type="paragraph" w:styleId="Revision">
    <w:name w:val="Revision"/>
    <w:hidden/>
    <w:uiPriority w:val="99"/>
    <w:semiHidden/>
    <w:rsid w:val="007C1DD7"/>
    <w:pPr>
      <w:autoSpaceDN/>
      <w:textAlignment w:val="auto"/>
    </w:pPr>
    <w:rPr>
      <w:rFonts w:ascii="Cambria" w:hAnsi="Cambria"/>
    </w:rPr>
  </w:style>
  <w:style w:type="table" w:styleId="TableGrid">
    <w:name w:val="Table Grid"/>
    <w:basedOn w:val="TableNormal"/>
    <w:uiPriority w:val="59"/>
    <w:rsid w:val="007C3438"/>
    <w:pPr>
      <w:autoSpaceDN/>
      <w:textAlignment w:val="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rgonList">
    <w:name w:val="Ergon List"/>
    <w:uiPriority w:val="99"/>
    <w:rsid w:val="007C3438"/>
    <w:pPr>
      <w:numPr>
        <w:numId w:val="26"/>
      </w:numPr>
    </w:pPr>
  </w:style>
  <w:style w:type="paragraph" w:customStyle="1" w:styleId="Tabletext">
    <w:name w:val="Table text"/>
    <w:qFormat/>
    <w:rsid w:val="007C3438"/>
    <w:pPr>
      <w:autoSpaceDN/>
      <w:spacing w:line="240" w:lineRule="atLeast"/>
      <w:textAlignment w:val="auto"/>
    </w:pPr>
    <w:rPr>
      <w:rFonts w:asciiTheme="minorHAnsi" w:eastAsiaTheme="minorEastAsia" w:hAnsiTheme="minorHAnsi" w:cstheme="minorBidi"/>
      <w:color w:val="A4B2A5" w:themeColor="text2"/>
      <w:sz w:val="18"/>
      <w:szCs w:val="22"/>
      <w:lang w:eastAsia="zh-CN"/>
    </w:rPr>
  </w:style>
  <w:style w:type="paragraph" w:customStyle="1" w:styleId="Tabletitle">
    <w:name w:val="Table title"/>
    <w:basedOn w:val="Tabletext"/>
    <w:next w:val="Tabletext"/>
    <w:qFormat/>
    <w:rsid w:val="007C3438"/>
    <w:rPr>
      <w:color w:val="EF7D00" w:themeColor="background1"/>
    </w:rPr>
  </w:style>
  <w:style w:type="table" w:customStyle="1" w:styleId="Ergontable">
    <w:name w:val="Ergon table"/>
    <w:basedOn w:val="TableNormal"/>
    <w:uiPriority w:val="99"/>
    <w:rsid w:val="007C3438"/>
    <w:pPr>
      <w:autoSpaceDN/>
      <w:spacing w:line="240" w:lineRule="atLeast"/>
      <w:textAlignment w:val="auto"/>
    </w:pPr>
    <w:rPr>
      <w:rFonts w:asciiTheme="minorHAnsi" w:eastAsiaTheme="minorEastAsia" w:hAnsiTheme="minorHAnsi" w:cs="Arial Unicode MS"/>
      <w:color w:val="A4B2A5" w:themeColor="text2"/>
      <w:sz w:val="18"/>
      <w:szCs w:val="18"/>
      <w:lang w:eastAsia="zh-CN"/>
    </w:rPr>
    <w:tblPr>
      <w:tblBorders>
        <w:insideH w:val="single" w:sz="4" w:space="0" w:color="EF7D00" w:themeColor="background1"/>
        <w:insideV w:val="single" w:sz="4" w:space="0" w:color="EF7D00" w:themeColor="background1"/>
      </w:tblBorders>
      <w:tblCellMar>
        <w:top w:w="57" w:type="dxa"/>
        <w:left w:w="113" w:type="dxa"/>
        <w:bottom w:w="113" w:type="dxa"/>
        <w:right w:w="113" w:type="dxa"/>
      </w:tblCellMar>
    </w:tblPr>
    <w:tcPr>
      <w:shd w:val="clear" w:color="auto" w:fill="FFFFFF" w:themeFill="background2" w:themeFillTint="33"/>
    </w:tcPr>
    <w:tblStylePr w:type="firstRow">
      <w:rPr>
        <w:rFonts w:ascii="Franklin Gothic Medium" w:hAnsi="Franklin Gothic Medium"/>
        <w:color w:val="EF7D00" w:themeColor="background1"/>
      </w:rPr>
      <w:tblPr/>
      <w:trPr>
        <w:tblHeader/>
      </w:trPr>
      <w:tcPr>
        <w:shd w:val="clear" w:color="auto" w:fill="000000" w:themeFill="accent1"/>
      </w:tcPr>
    </w:tblStylePr>
  </w:style>
  <w:style w:type="character" w:customStyle="1" w:styleId="NormalBold">
    <w:name w:val="Normal Bold"/>
    <w:basedOn w:val="DefaultParagraphFont"/>
    <w:uiPriority w:val="1"/>
    <w:qFormat/>
    <w:rsid w:val="007C3438"/>
    <w:rPr>
      <w:rFonts w:ascii="Franklin Gothic Medium" w:hAnsi="Franklin Gothic Medium"/>
    </w:rPr>
  </w:style>
  <w:style w:type="table" w:styleId="GridTable1Light">
    <w:name w:val="Grid Table 1 Light"/>
    <w:basedOn w:val="TableNormal"/>
    <w:uiPriority w:val="46"/>
    <w:rsid w:val="00797A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dcgroupcom.sharepoint.com/BII%20Org%20Assets%20Library/BII%20Document.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5800705-6cab-460c-b450-fee685b6c533" ContentTypeId="0x0101000ABE5BDCD31A9B409314102C7009B25C" PreviousValue="false"/>
</file>

<file path=customXml/item2.xml><?xml version="1.0" encoding="utf-8"?>
<ct:contentTypeSchema xmlns:ct="http://schemas.microsoft.com/office/2006/metadata/contentType" xmlns:ma="http://schemas.microsoft.com/office/2006/metadata/properties/metaAttributes" ct:_="" ma:_="" ma:contentTypeName="BII Document" ma:contentTypeID="0x0101000ABE5BDCD31A9B409314102C7009B25C0057B3E06E684EEF4C9DDDD7564E8A78C8" ma:contentTypeVersion="545" ma:contentTypeDescription="" ma:contentTypeScope="" ma:versionID="4d18a4e475c61e50974193e7fabf5a5b">
  <xsd:schema xmlns:xsd="http://www.w3.org/2001/XMLSchema" xmlns:xs="http://www.w3.org/2001/XMLSchema" xmlns:p="http://schemas.microsoft.com/office/2006/metadata/properties" xmlns:ns2="870cb497-4044-4cf2-90cc-f4ae0dbc3665" targetNamespace="http://schemas.microsoft.com/office/2006/metadata/properties" ma:root="true" ma:fieldsID="c5eecf8ed59e81c5afa033aa79f6fd0e" ns2:_="">
    <xsd:import namespace="870cb497-4044-4cf2-90cc-f4ae0dbc3665"/>
    <xsd:element name="properties">
      <xsd:complexType>
        <xsd:sequence>
          <xsd:element name="documentManagement">
            <xsd:complexType>
              <xsd:all>
                <xsd:element ref="ns2:m84d7c7f63cb451b899bccc83df50b61" minOccurs="0"/>
                <xsd:element ref="ns2:TaxCatchAll" minOccurs="0"/>
                <xsd:element ref="ns2:TaxCatchAllLabel" minOccurs="0"/>
                <xsd:element ref="ns2:e60208c032404629b4d3226b631336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m84d7c7f63cb451b899bccc83df50b61" ma:index="8" nillable="true" ma:taxonomy="true" ma:internalName="m84d7c7f63cb451b899bccc83df50b61" ma:taxonomyFieldName="CDCDocumentType" ma:displayName="Document Typ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e60208c032404629b4d3226b63133635" ma:index="12" nillable="true" ma:taxonomy="true" ma:internalName="e60208c032404629b4d3226b63133635" ma:taxonomyFieldName="CDCRelateTo" ma:displayName="Relates To"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60208c032404629b4d3226b63133635 xmlns="870cb497-4044-4cf2-90cc-f4ae0dbc3665">
      <Terms xmlns="http://schemas.microsoft.com/office/infopath/2007/PartnerControls"/>
    </e60208c032404629b4d3226b63133635>
    <TaxCatchAll xmlns="870cb497-4044-4cf2-90cc-f4ae0dbc3665" xsi:nil="true"/>
    <m84d7c7f63cb451b899bccc83df50b61 xmlns="870cb497-4044-4cf2-90cc-f4ae0dbc3665">
      <Terms xmlns="http://schemas.microsoft.com/office/infopath/2007/PartnerControls"/>
    </m84d7c7f63cb451b899bccc83df50b6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CD1D6-7CF2-4FFC-8E6A-AEBF09DAD61C}">
  <ds:schemaRefs>
    <ds:schemaRef ds:uri="Microsoft.SharePoint.Taxonomy.ContentTypeSync"/>
  </ds:schemaRefs>
</ds:datastoreItem>
</file>

<file path=customXml/itemProps2.xml><?xml version="1.0" encoding="utf-8"?>
<ds:datastoreItem xmlns:ds="http://schemas.openxmlformats.org/officeDocument/2006/customXml" ds:itemID="{6F3ED1BA-8F24-474B-BCB7-67122F345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cb497-4044-4cf2-90cc-f4ae0dbc3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C6B11-2E18-477C-93B8-7E5AC1E268E7}">
  <ds:schemaRefs>
    <ds:schemaRef ds:uri="http://schemas.microsoft.com/office/2006/metadata/properties"/>
    <ds:schemaRef ds:uri="http://schemas.microsoft.com/office/infopath/2007/PartnerControls"/>
    <ds:schemaRef ds:uri="870cb497-4044-4cf2-90cc-f4ae0dbc3665"/>
  </ds:schemaRefs>
</ds:datastoreItem>
</file>

<file path=customXml/itemProps4.xml><?xml version="1.0" encoding="utf-8"?>
<ds:datastoreItem xmlns:ds="http://schemas.openxmlformats.org/officeDocument/2006/customXml" ds:itemID="{A46A0F47-38F0-4DCA-9DDD-A4F5FAFE4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BII%20Document</Template>
  <TotalTime>21</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Alan Noamesi</dc:creator>
  <cp:keywords/>
  <dc:description/>
  <cp:lastModifiedBy>Alan Noamesi</cp:lastModifiedBy>
  <cp:revision>7</cp:revision>
  <dcterms:created xsi:type="dcterms:W3CDTF">2024-01-28T21:44:00Z</dcterms:created>
  <dcterms:modified xsi:type="dcterms:W3CDTF">2024-02-15T10:27:00Z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0x0101000ABE5BDCD31A9B409314102C7009B25C0057B3E06E684EEF4C9DDDD7564E8A78C8</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ies>
</file>